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28" w:rsidRDefault="002B6607">
      <w:pPr>
        <w:rPr>
          <w:rFonts w:ascii="Palatino" w:hAnsi="Palatino"/>
          <w:lang w:val="en-US"/>
        </w:rPr>
      </w:pPr>
      <w:r w:rsidRPr="002B6607">
        <w:rPr>
          <w:rFonts w:ascii="Palatino" w:hAnsi="Palatino"/>
          <w:b/>
          <w:lang w:val="en-US"/>
        </w:rPr>
        <w:t>Table S1</w:t>
      </w:r>
      <w:r w:rsidRPr="002B6607">
        <w:rPr>
          <w:rFonts w:ascii="Palatino" w:hAnsi="Palatino"/>
          <w:lang w:val="en-US"/>
        </w:rPr>
        <w:t xml:space="preserve">. </w:t>
      </w:r>
      <w:proofErr w:type="gramStart"/>
      <w:r>
        <w:rPr>
          <w:rFonts w:ascii="Palatino" w:hAnsi="Palatino"/>
          <w:lang w:val="en-US"/>
        </w:rPr>
        <w:t>Summary of logic gates based on aptamers.</w:t>
      </w:r>
      <w:proofErr w:type="gramEnd"/>
    </w:p>
    <w:tbl>
      <w:tblPr>
        <w:tblStyle w:val="a3"/>
        <w:tblW w:w="14283" w:type="dxa"/>
        <w:tblLayout w:type="fixed"/>
        <w:tblLook w:val="04A0" w:firstRow="1" w:lastRow="0" w:firstColumn="1" w:lastColumn="0" w:noHBand="0" w:noVBand="1"/>
      </w:tblPr>
      <w:tblGrid>
        <w:gridCol w:w="1951"/>
        <w:gridCol w:w="2835"/>
        <w:gridCol w:w="2693"/>
        <w:gridCol w:w="2127"/>
        <w:gridCol w:w="3118"/>
        <w:gridCol w:w="1559"/>
      </w:tblGrid>
      <w:tr w:rsidR="002B6607" w:rsidRPr="00D31240" w:rsidTr="0098663C">
        <w:trPr>
          <w:trHeight w:val="699"/>
        </w:trPr>
        <w:tc>
          <w:tcPr>
            <w:tcW w:w="1951" w:type="dxa"/>
            <w:vAlign w:val="center"/>
          </w:tcPr>
          <w:p w:rsidR="002B6607" w:rsidRPr="00D31240" w:rsidRDefault="002B6607" w:rsidP="0098663C">
            <w:pPr>
              <w:jc w:val="center"/>
              <w:rPr>
                <w:rFonts w:ascii="Times New Roman" w:hAnsi="Times New Roman" w:cs="Times New Roman"/>
                <w:b/>
                <w:sz w:val="20"/>
                <w:szCs w:val="20"/>
                <w:lang w:val="en-US"/>
              </w:rPr>
            </w:pPr>
            <w:r w:rsidRPr="00D31240">
              <w:rPr>
                <w:rFonts w:ascii="Times New Roman" w:hAnsi="Times New Roman" w:cs="Times New Roman"/>
                <w:b/>
                <w:sz w:val="20"/>
                <w:szCs w:val="20"/>
                <w:lang w:val="en-US"/>
              </w:rPr>
              <w:t xml:space="preserve">Inputs </w:t>
            </w:r>
            <w:r w:rsidRPr="00C10619">
              <w:rPr>
                <w:rFonts w:ascii="Times New Roman" w:hAnsi="Times New Roman" w:cs="Times New Roman"/>
                <w:b/>
                <w:sz w:val="16"/>
                <w:szCs w:val="16"/>
                <w:lang w:val="en-US"/>
              </w:rPr>
              <w:t>(solid - target</w:t>
            </w:r>
            <w:r>
              <w:rPr>
                <w:rFonts w:ascii="Times New Roman" w:hAnsi="Times New Roman" w:cs="Times New Roman"/>
                <w:b/>
                <w:sz w:val="16"/>
                <w:szCs w:val="16"/>
                <w:lang w:val="en-US"/>
              </w:rPr>
              <w:t>s</w:t>
            </w:r>
            <w:r w:rsidRPr="00C10619">
              <w:rPr>
                <w:rFonts w:ascii="Times New Roman" w:hAnsi="Times New Roman" w:cs="Times New Roman"/>
                <w:b/>
                <w:sz w:val="16"/>
                <w:szCs w:val="16"/>
                <w:lang w:val="en-US"/>
              </w:rPr>
              <w:t xml:space="preserve"> for aptamers)</w:t>
            </w:r>
          </w:p>
        </w:tc>
        <w:tc>
          <w:tcPr>
            <w:tcW w:w="2835" w:type="dxa"/>
            <w:vAlign w:val="center"/>
          </w:tcPr>
          <w:p w:rsidR="002B6607" w:rsidRPr="00D31240" w:rsidRDefault="002B6607" w:rsidP="0098663C">
            <w:pPr>
              <w:jc w:val="center"/>
              <w:rPr>
                <w:rFonts w:ascii="Times New Roman" w:hAnsi="Times New Roman" w:cs="Times New Roman"/>
                <w:b/>
                <w:sz w:val="20"/>
                <w:szCs w:val="20"/>
                <w:lang w:val="en-US"/>
              </w:rPr>
            </w:pPr>
            <w:r w:rsidRPr="00D31240">
              <w:rPr>
                <w:rFonts w:ascii="Times New Roman" w:hAnsi="Times New Roman" w:cs="Times New Roman"/>
                <w:b/>
                <w:sz w:val="20"/>
                <w:szCs w:val="20"/>
                <w:lang w:val="en-US"/>
              </w:rPr>
              <w:t>Logic gates</w:t>
            </w:r>
          </w:p>
        </w:tc>
        <w:tc>
          <w:tcPr>
            <w:tcW w:w="2693" w:type="dxa"/>
            <w:vAlign w:val="center"/>
          </w:tcPr>
          <w:p w:rsidR="002B6607" w:rsidRPr="00D31240" w:rsidRDefault="002B6607" w:rsidP="0098663C">
            <w:pPr>
              <w:jc w:val="center"/>
              <w:rPr>
                <w:rFonts w:ascii="Times New Roman" w:hAnsi="Times New Roman" w:cs="Times New Roman"/>
                <w:b/>
                <w:sz w:val="20"/>
                <w:szCs w:val="20"/>
                <w:lang w:val="en-US"/>
              </w:rPr>
            </w:pPr>
            <w:proofErr w:type="spellStart"/>
            <w:r w:rsidRPr="00D31240">
              <w:rPr>
                <w:rFonts w:ascii="Times New Roman" w:hAnsi="Times New Roman" w:cs="Times New Roman"/>
                <w:b/>
                <w:sz w:val="20"/>
                <w:szCs w:val="20"/>
                <w:lang w:val="en-US"/>
              </w:rPr>
              <w:t>Aptameric</w:t>
            </w:r>
            <w:proofErr w:type="spellEnd"/>
            <w:r w:rsidRPr="00D31240">
              <w:rPr>
                <w:rFonts w:ascii="Times New Roman" w:hAnsi="Times New Roman" w:cs="Times New Roman"/>
                <w:b/>
                <w:sz w:val="20"/>
                <w:szCs w:val="20"/>
                <w:lang w:val="en-US"/>
              </w:rPr>
              <w:t xml:space="preserve"> strategy</w:t>
            </w:r>
          </w:p>
        </w:tc>
        <w:tc>
          <w:tcPr>
            <w:tcW w:w="2127" w:type="dxa"/>
            <w:vAlign w:val="center"/>
          </w:tcPr>
          <w:p w:rsidR="002B6607" w:rsidRPr="00D31240" w:rsidRDefault="002B6607" w:rsidP="0098663C">
            <w:pPr>
              <w:jc w:val="center"/>
              <w:rPr>
                <w:rFonts w:ascii="Times New Roman" w:hAnsi="Times New Roman" w:cs="Times New Roman"/>
                <w:b/>
                <w:sz w:val="20"/>
                <w:szCs w:val="20"/>
              </w:rPr>
            </w:pPr>
            <w:r w:rsidRPr="00D31240">
              <w:rPr>
                <w:rFonts w:ascii="Times New Roman" w:hAnsi="Times New Roman" w:cs="Times New Roman"/>
                <w:b/>
                <w:sz w:val="20"/>
                <w:szCs w:val="20"/>
                <w:lang w:val="en-US"/>
              </w:rPr>
              <w:t>Output signal</w:t>
            </w:r>
          </w:p>
        </w:tc>
        <w:tc>
          <w:tcPr>
            <w:tcW w:w="3118" w:type="dxa"/>
            <w:vAlign w:val="center"/>
          </w:tcPr>
          <w:p w:rsidR="002B6607" w:rsidRPr="00591BD9" w:rsidRDefault="002B6607" w:rsidP="0098663C">
            <w:pPr>
              <w:jc w:val="center"/>
              <w:rPr>
                <w:rFonts w:ascii="Times New Roman" w:hAnsi="Times New Roman" w:cs="Times New Roman"/>
                <w:b/>
                <w:sz w:val="20"/>
                <w:szCs w:val="20"/>
                <w:lang w:val="en-US"/>
              </w:rPr>
            </w:pPr>
            <w:r w:rsidRPr="00591BD9">
              <w:rPr>
                <w:rFonts w:ascii="Times New Roman" w:hAnsi="Times New Roman" w:cs="Times New Roman"/>
                <w:b/>
                <w:sz w:val="20"/>
                <w:szCs w:val="20"/>
                <w:lang w:val="en-US"/>
              </w:rPr>
              <w:t xml:space="preserve">The operation time </w:t>
            </w:r>
            <w:r w:rsidRPr="00591BD9">
              <w:rPr>
                <w:rFonts w:ascii="Times New Roman" w:hAnsi="Times New Roman" w:cs="Times New Roman"/>
                <w:b/>
                <w:sz w:val="16"/>
                <w:szCs w:val="16"/>
                <w:lang w:val="en-US"/>
              </w:rPr>
              <w:t>(from the moment of entering the input data to the moment of receiving the output signal)</w:t>
            </w:r>
            <w:r w:rsidRPr="00591BD9">
              <w:rPr>
                <w:rFonts w:ascii="Times New Roman" w:hAnsi="Times New Roman" w:cs="Times New Roman"/>
                <w:b/>
                <w:sz w:val="20"/>
                <w:szCs w:val="20"/>
                <w:lang w:val="en-US"/>
              </w:rPr>
              <w:t>, minutes</w:t>
            </w:r>
          </w:p>
        </w:tc>
        <w:tc>
          <w:tcPr>
            <w:tcW w:w="1559" w:type="dxa"/>
            <w:vAlign w:val="center"/>
          </w:tcPr>
          <w:p w:rsidR="002B6607" w:rsidRPr="00591BD9" w:rsidRDefault="002B6607" w:rsidP="0098663C">
            <w:pPr>
              <w:tabs>
                <w:tab w:val="left" w:pos="5420"/>
              </w:tabs>
              <w:jc w:val="center"/>
              <w:rPr>
                <w:rFonts w:ascii="Times New Roman" w:hAnsi="Times New Roman" w:cs="Times New Roman"/>
                <w:b/>
                <w:sz w:val="20"/>
                <w:szCs w:val="20"/>
                <w:lang w:val="en-US"/>
              </w:rPr>
            </w:pPr>
            <w:r w:rsidRPr="00591BD9">
              <w:rPr>
                <w:rFonts w:ascii="Times New Roman" w:hAnsi="Times New Roman" w:cs="Times New Roman"/>
                <w:b/>
                <w:sz w:val="20"/>
                <w:szCs w:val="20"/>
                <w:lang w:val="en-US"/>
              </w:rPr>
              <w:t>Reference</w:t>
            </w:r>
          </w:p>
        </w:tc>
      </w:tr>
      <w:tr w:rsidR="002B6607" w:rsidRPr="00D31240" w:rsidTr="0098663C">
        <w:trPr>
          <w:trHeight w:val="699"/>
        </w:trPr>
        <w:tc>
          <w:tcPr>
            <w:tcW w:w="14283" w:type="dxa"/>
            <w:gridSpan w:val="6"/>
            <w:vAlign w:val="center"/>
          </w:tcPr>
          <w:p w:rsidR="002B6607" w:rsidRPr="00591BD9" w:rsidRDefault="002B6607" w:rsidP="0098663C">
            <w:pPr>
              <w:tabs>
                <w:tab w:val="left" w:pos="5420"/>
              </w:tabs>
              <w:rPr>
                <w:rFonts w:ascii="Times New Roman" w:hAnsi="Times New Roman" w:cs="Times New Roman"/>
                <w:b/>
                <w:sz w:val="20"/>
                <w:szCs w:val="20"/>
                <w:lang w:val="en-US"/>
              </w:rPr>
            </w:pPr>
            <w:r w:rsidRPr="00591BD9">
              <w:rPr>
                <w:rFonts w:ascii="Times New Roman" w:hAnsi="Times New Roman" w:cs="Times New Roman"/>
                <w:b/>
                <w:sz w:val="20"/>
                <w:szCs w:val="20"/>
                <w:lang w:val="en-US"/>
              </w:rPr>
              <w:t>Optical signal</w:t>
            </w:r>
          </w:p>
        </w:tc>
      </w:tr>
      <w:tr w:rsidR="002B6607" w:rsidRPr="00D31240" w:rsidTr="0098663C">
        <w:trPr>
          <w:trHeight w:val="699"/>
        </w:trPr>
        <w:tc>
          <w:tcPr>
            <w:tcW w:w="14283" w:type="dxa"/>
            <w:gridSpan w:val="6"/>
            <w:vAlign w:val="center"/>
          </w:tcPr>
          <w:p w:rsidR="002B6607" w:rsidRPr="00591BD9" w:rsidRDefault="002B6607" w:rsidP="0098663C">
            <w:pPr>
              <w:tabs>
                <w:tab w:val="left" w:pos="5420"/>
              </w:tabs>
              <w:rPr>
                <w:rFonts w:ascii="Times New Roman" w:hAnsi="Times New Roman" w:cs="Times New Roman"/>
                <w:b/>
                <w:sz w:val="20"/>
                <w:szCs w:val="20"/>
                <w:lang w:val="en-US"/>
              </w:rPr>
            </w:pPr>
            <w:r w:rsidRPr="00591BD9">
              <w:rPr>
                <w:rFonts w:ascii="Times New Roman" w:hAnsi="Times New Roman" w:cs="Times New Roman"/>
                <w:b/>
                <w:sz w:val="20"/>
                <w:szCs w:val="20"/>
                <w:lang w:val="en-US"/>
              </w:rPr>
              <w:t>Fluorescent output in solution</w:t>
            </w:r>
          </w:p>
        </w:tc>
      </w:tr>
      <w:tr w:rsidR="002B6607" w:rsidRPr="00763E90" w:rsidTr="0098663C">
        <w:trPr>
          <w:trHeight w:val="699"/>
        </w:trPr>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Thrombin</w:t>
            </w:r>
          </w:p>
          <w:p w:rsidR="002B6607" w:rsidRPr="003C2F50"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Adenosine</w:t>
            </w:r>
          </w:p>
        </w:tc>
        <w:tc>
          <w:tcPr>
            <w:tcW w:w="2835" w:type="dxa"/>
            <w:vAlign w:val="center"/>
          </w:tcPr>
          <w:p w:rsidR="002B6607" w:rsidRPr="00CB044E" w:rsidRDefault="002B6607" w:rsidP="0098663C">
            <w:pPr>
              <w:jc w:val="center"/>
              <w:rPr>
                <w:rFonts w:ascii="Times New Roman" w:hAnsi="Times New Roman" w:cs="Times New Roman"/>
                <w:lang w:val="en-US"/>
              </w:rPr>
            </w:pPr>
            <w:proofErr w:type="spellStart"/>
            <w:r>
              <w:rPr>
                <w:rFonts w:ascii="Times New Roman" w:hAnsi="Times New Roman" w:cs="Times New Roman"/>
                <w:lang w:val="en-US"/>
              </w:rPr>
              <w:t>i</w:t>
            </w:r>
            <w:r w:rsidRPr="00CB044E">
              <w:rPr>
                <w:rFonts w:ascii="Times New Roman" w:hAnsi="Times New Roman" w:cs="Times New Roman"/>
                <w:lang w:val="en-US"/>
              </w:rPr>
              <w:t>OR</w:t>
            </w:r>
            <w:r>
              <w:rPr>
                <w:rFonts w:ascii="Times New Roman" w:hAnsi="Times New Roman" w:cs="Times New Roman"/>
                <w:lang w:val="en-US"/>
              </w:rPr>
              <w:t>i</w:t>
            </w:r>
            <w:proofErr w:type="spellEnd"/>
          </w:p>
          <w:p w:rsidR="002B6607" w:rsidRPr="00763E90"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lang w:val="en-US"/>
              </w:rPr>
              <w:t>i</w:t>
            </w:r>
            <w:r w:rsidRPr="00CB044E">
              <w:rPr>
                <w:rFonts w:ascii="Times New Roman" w:hAnsi="Times New Roman" w:cs="Times New Roman"/>
                <w:lang w:val="en-US"/>
              </w:rPr>
              <w:t>AND</w:t>
            </w:r>
            <w:r>
              <w:rPr>
                <w:rFonts w:ascii="Times New Roman" w:hAnsi="Times New Roman" w:cs="Times New Roman"/>
                <w:lang w:val="en-US"/>
              </w:rPr>
              <w:t>i</w:t>
            </w:r>
            <w:proofErr w:type="spellEnd"/>
          </w:p>
        </w:tc>
        <w:tc>
          <w:tcPr>
            <w:tcW w:w="2693"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The use of </w:t>
            </w:r>
            <w:proofErr w:type="spellStart"/>
            <w:r w:rsidRPr="006C39E0">
              <w:rPr>
                <w:rFonts w:ascii="Times New Roman" w:hAnsi="Times New Roman" w:cs="Times New Roman"/>
                <w:sz w:val="20"/>
                <w:szCs w:val="20"/>
                <w:lang w:val="en-US"/>
              </w:rPr>
              <w:t>bifunctional</w:t>
            </w:r>
            <w:proofErr w:type="spellEnd"/>
            <w:r w:rsidRPr="006C39E0">
              <w:rPr>
                <w:rFonts w:ascii="Times New Roman" w:hAnsi="Times New Roman" w:cs="Times New Roman"/>
                <w:sz w:val="20"/>
                <w:szCs w:val="20"/>
                <w:lang w:val="en-US"/>
              </w:rPr>
              <w:t xml:space="preserve"> aptamer</w:t>
            </w:r>
            <w:r>
              <w:rPr>
                <w:rFonts w:ascii="Times New Roman" w:hAnsi="Times New Roman" w:cs="Times New Roman"/>
                <w:sz w:val="20"/>
                <w:szCs w:val="20"/>
                <w:lang w:val="en-US"/>
              </w:rPr>
              <w:t>; s</w:t>
            </w:r>
            <w:r w:rsidRPr="00D31240">
              <w:rPr>
                <w:rFonts w:ascii="Times New Roman" w:hAnsi="Times New Roman" w:cs="Times New Roman"/>
                <w:sz w:val="20"/>
                <w:szCs w:val="20"/>
                <w:lang w:val="en-US"/>
              </w:rPr>
              <w:t xml:space="preserve">witching </w:t>
            </w:r>
            <w:r>
              <w:rPr>
                <w:rFonts w:ascii="Times New Roman" w:hAnsi="Times New Roman" w:cs="Times New Roman"/>
                <w:sz w:val="20"/>
                <w:szCs w:val="20"/>
                <w:lang w:val="en-US"/>
              </w:rPr>
              <w:t xml:space="preserve">of an aptamer from </w:t>
            </w:r>
            <w:proofErr w:type="spellStart"/>
            <w:r>
              <w:rPr>
                <w:rFonts w:ascii="Times New Roman" w:hAnsi="Times New Roman" w:cs="Times New Roman"/>
                <w:sz w:val="20"/>
                <w:szCs w:val="20"/>
                <w:lang w:val="en-US"/>
              </w:rPr>
              <w:t>dsDNA</w:t>
            </w:r>
            <w:proofErr w:type="spellEnd"/>
            <w:r>
              <w:rPr>
                <w:rFonts w:ascii="Times New Roman" w:hAnsi="Times New Roman" w:cs="Times New Roman"/>
                <w:sz w:val="20"/>
                <w:szCs w:val="20"/>
                <w:lang w:val="en-US"/>
              </w:rPr>
              <w:t xml:space="preserve"> to a</w:t>
            </w:r>
            <w:r w:rsidRPr="00D31240">
              <w:rPr>
                <w:rFonts w:ascii="Times New Roman" w:hAnsi="Times New Roman" w:cs="Times New Roman"/>
                <w:sz w:val="20"/>
                <w:szCs w:val="20"/>
                <w:lang w:val="en-US"/>
              </w:rPr>
              <w:t xml:space="preserve"> complex </w:t>
            </w:r>
            <w:r>
              <w:rPr>
                <w:rFonts w:ascii="Times New Roman" w:hAnsi="Times New Roman" w:cs="Times New Roman"/>
                <w:sz w:val="20"/>
                <w:szCs w:val="20"/>
                <w:lang w:val="en-US"/>
              </w:rPr>
              <w:t xml:space="preserve">with a </w:t>
            </w:r>
            <w:r w:rsidRPr="00D31240">
              <w:rPr>
                <w:rFonts w:ascii="Times New Roman" w:hAnsi="Times New Roman" w:cs="Times New Roman"/>
                <w:sz w:val="20"/>
                <w:szCs w:val="20"/>
                <w:lang w:val="en-US"/>
              </w:rPr>
              <w:t>target</w:t>
            </w:r>
          </w:p>
        </w:tc>
        <w:tc>
          <w:tcPr>
            <w:tcW w:w="2127" w:type="dxa"/>
            <w:vAlign w:val="center"/>
          </w:tcPr>
          <w:p w:rsidR="002B6607" w:rsidRPr="00763E90"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Fluorescence </w:t>
            </w:r>
            <w:r w:rsidRPr="00465089">
              <w:rPr>
                <w:rFonts w:ascii="Times New Roman" w:hAnsi="Times New Roman" w:cs="Times New Roman"/>
                <w:sz w:val="20"/>
                <w:szCs w:val="20"/>
                <w:lang w:val="en-US"/>
              </w:rPr>
              <w:t>(fluorescein)</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30</w:t>
            </w:r>
          </w:p>
        </w:tc>
        <w:tc>
          <w:tcPr>
            <w:tcW w:w="1559" w:type="dxa"/>
            <w:vAlign w:val="center"/>
          </w:tcPr>
          <w:p w:rsidR="002B6607" w:rsidRPr="00591BD9" w:rsidRDefault="002B6607" w:rsidP="0098663C">
            <w:pPr>
              <w:tabs>
                <w:tab w:val="left" w:pos="5420"/>
              </w:tabs>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"10.1039/b613201d", "ISSN" : "13597345", "PMID" : "17180244", "abstract" : "We designed a pair of DNA-based logic gates that sense single-stranded DNAs and aptamer ligands to produce fluorescence outputs according to Boolean logic functions AND and OR. \u00a9 The Royal Society of Chemistry.", "author" : [ { "dropping-particle" : "", "family" : "Yoshida", "given" : "Wataru", "non-dropping-particle" : "", "parse-names" : false, "suffix" : "" }, { "dropping-particle" : "", "family" : "Yokobayashi", "given" : "Yohei", "non-dropping-particle" : "", "parse-names" : false, "suffix" : "" } ], "container-title" : "Chemical Communications", "id" : "ITEM-1", "issue" : "2", "issued" : { "date-parts" : [ [ "2007" ] ] }, "page" : "195-197", "title" : "Photonic boolean logic gates based on DNA aptamers", "type" : "article-journal" }, "uris" : [ "http://www.mendeley.com/documents/?uuid=3933cccf-6ac1-4e71-9840-c354eeebbf6a" ] } ], "mendeley" : { "formattedCitation" : "[1]", "plainTextFormattedCitation" : "[1]", "previouslyFormattedCitation" : "[1]"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w:t>
            </w:r>
            <w:r w:rsidRPr="00591BD9">
              <w:rPr>
                <w:rFonts w:ascii="Times New Roman" w:hAnsi="Times New Roman" w:cs="Times New Roman"/>
                <w:sz w:val="20"/>
                <w:szCs w:val="20"/>
                <w:lang w:val="en-US"/>
              </w:rPr>
              <w:fldChar w:fldCharType="end"/>
            </w:r>
          </w:p>
        </w:tc>
      </w:tr>
      <w:tr w:rsidR="002B6607" w:rsidRPr="008C72CE" w:rsidTr="0098663C">
        <w:trPr>
          <w:trHeight w:val="699"/>
        </w:trPr>
        <w:tc>
          <w:tcPr>
            <w:tcW w:w="1951" w:type="dxa"/>
            <w:vAlign w:val="center"/>
          </w:tcPr>
          <w:p w:rsidR="002B6607" w:rsidRPr="00C10619" w:rsidRDefault="002B6607" w:rsidP="0098663C">
            <w:pPr>
              <w:jc w:val="center"/>
              <w:rPr>
                <w:rFonts w:ascii="Times New Roman" w:hAnsi="Times New Roman" w:cs="Times New Roman"/>
                <w:i/>
                <w:sz w:val="20"/>
                <w:szCs w:val="20"/>
                <w:lang w:val="en-US"/>
              </w:rPr>
            </w:pPr>
            <w:proofErr w:type="spellStart"/>
            <w:r w:rsidRPr="00C10619">
              <w:rPr>
                <w:rFonts w:ascii="Times New Roman" w:hAnsi="Times New Roman" w:cs="Times New Roman"/>
                <w:i/>
                <w:sz w:val="20"/>
                <w:szCs w:val="20"/>
                <w:lang w:val="en-US"/>
              </w:rPr>
              <w:t>Guanidinium</w:t>
            </w:r>
            <w:proofErr w:type="spellEnd"/>
            <w:r w:rsidRPr="00C10619">
              <w:rPr>
                <w:rFonts w:ascii="Times New Roman" w:hAnsi="Times New Roman" w:cs="Times New Roman"/>
                <w:i/>
                <w:sz w:val="20"/>
                <w:szCs w:val="20"/>
                <w:lang w:val="en-US"/>
              </w:rPr>
              <w:t xml:space="preserve"> chloride</w:t>
            </w:r>
          </w:p>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 xml:space="preserve">prion </w:t>
            </w:r>
            <w:proofErr w:type="spellStart"/>
            <w:r w:rsidRPr="008C72CE">
              <w:rPr>
                <w:rFonts w:ascii="Times New Roman" w:hAnsi="Times New Roman" w:cs="Times New Roman"/>
                <w:sz w:val="20"/>
                <w:szCs w:val="20"/>
                <w:lang w:val="en-US"/>
              </w:rPr>
              <w:t>PrP</w:t>
            </w:r>
            <w:r w:rsidRPr="008C72CE">
              <w:rPr>
                <w:rFonts w:ascii="Times New Roman" w:hAnsi="Times New Roman" w:cs="Times New Roman"/>
                <w:sz w:val="20"/>
                <w:szCs w:val="20"/>
                <w:vertAlign w:val="superscript"/>
                <w:lang w:val="en-US"/>
              </w:rPr>
              <w:t>c</w:t>
            </w:r>
            <w:proofErr w:type="spellEnd"/>
            <w:r w:rsidRPr="008C72CE">
              <w:rPr>
                <w:rFonts w:ascii="Times New Roman" w:hAnsi="Times New Roman" w:cs="Times New Roman"/>
                <w:sz w:val="20"/>
                <w:szCs w:val="20"/>
                <w:lang w:val="en-US"/>
              </w:rPr>
              <w:t xml:space="preserve"> </w:t>
            </w:r>
          </w:p>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 xml:space="preserve">prion </w:t>
            </w:r>
            <w:proofErr w:type="spellStart"/>
            <w:r w:rsidRPr="008C72CE">
              <w:rPr>
                <w:rFonts w:ascii="Times New Roman" w:hAnsi="Times New Roman" w:cs="Times New Roman"/>
                <w:sz w:val="20"/>
                <w:szCs w:val="20"/>
                <w:lang w:val="en-US"/>
              </w:rPr>
              <w:t>PrP</w:t>
            </w:r>
            <w:r w:rsidRPr="008C72CE">
              <w:rPr>
                <w:rFonts w:ascii="Times New Roman" w:hAnsi="Times New Roman" w:cs="Times New Roman"/>
                <w:sz w:val="20"/>
                <w:szCs w:val="20"/>
                <w:vertAlign w:val="superscript"/>
                <w:lang w:val="en-US"/>
              </w:rPr>
              <w:t>rev</w:t>
            </w:r>
            <w:proofErr w:type="spellEnd"/>
          </w:p>
        </w:tc>
        <w:tc>
          <w:tcPr>
            <w:tcW w:w="2835" w:type="dxa"/>
            <w:vAlign w:val="center"/>
          </w:tcPr>
          <w:p w:rsidR="002B6607" w:rsidRPr="008C72CE" w:rsidRDefault="002B6607" w:rsidP="0098663C">
            <w:pPr>
              <w:jc w:val="center"/>
              <w:rPr>
                <w:rFonts w:ascii="Times New Roman" w:hAnsi="Times New Roman" w:cs="Times New Roman"/>
                <w:sz w:val="20"/>
                <w:szCs w:val="20"/>
                <w:lang w:val="en-US"/>
              </w:rPr>
            </w:pPr>
            <w:proofErr w:type="spellStart"/>
            <w:r w:rsidRPr="008C72CE">
              <w:rPr>
                <w:rFonts w:ascii="Times New Roman" w:hAnsi="Times New Roman" w:cs="Times New Roman"/>
                <w:sz w:val="20"/>
                <w:szCs w:val="20"/>
                <w:lang w:val="en-US"/>
              </w:rPr>
              <w:t>iXORi</w:t>
            </w:r>
            <w:proofErr w:type="spellEnd"/>
          </w:p>
          <w:p w:rsidR="002B6607" w:rsidRPr="008C72CE" w:rsidRDefault="002B6607" w:rsidP="0098663C">
            <w:pPr>
              <w:jc w:val="center"/>
              <w:rPr>
                <w:rFonts w:ascii="Times New Roman" w:hAnsi="Times New Roman" w:cs="Times New Roman"/>
                <w:sz w:val="20"/>
                <w:szCs w:val="20"/>
                <w:lang w:val="en-US"/>
              </w:rPr>
            </w:pPr>
            <w:proofErr w:type="spellStart"/>
            <w:r w:rsidRPr="008C72CE">
              <w:rPr>
                <w:rFonts w:ascii="Times New Roman" w:hAnsi="Times New Roman" w:cs="Times New Roman"/>
                <w:sz w:val="20"/>
                <w:szCs w:val="20"/>
                <w:lang w:val="en-US"/>
              </w:rPr>
              <w:t>iORi</w:t>
            </w:r>
            <w:proofErr w:type="spellEnd"/>
          </w:p>
        </w:tc>
        <w:tc>
          <w:tcPr>
            <w:tcW w:w="2693" w:type="dxa"/>
            <w:vAlign w:val="center"/>
          </w:tcPr>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 xml:space="preserve">Formation of </w:t>
            </w:r>
            <w:r>
              <w:rPr>
                <w:rFonts w:ascii="Times New Roman" w:hAnsi="Times New Roman" w:cs="Times New Roman"/>
                <w:sz w:val="20"/>
                <w:szCs w:val="20"/>
                <w:lang w:val="en-US"/>
              </w:rPr>
              <w:t>a</w:t>
            </w:r>
            <w:r w:rsidRPr="008C72CE">
              <w:rPr>
                <w:rFonts w:ascii="Times New Roman" w:hAnsi="Times New Roman" w:cs="Times New Roman"/>
                <w:sz w:val="20"/>
                <w:szCs w:val="20"/>
                <w:lang w:val="en-US"/>
              </w:rPr>
              <w:t xml:space="preserve"> complex of </w:t>
            </w:r>
            <w:r>
              <w:rPr>
                <w:rFonts w:ascii="Times New Roman" w:hAnsi="Times New Roman" w:cs="Times New Roman"/>
                <w:sz w:val="20"/>
                <w:szCs w:val="20"/>
                <w:lang w:val="en-US"/>
              </w:rPr>
              <w:t>an</w:t>
            </w:r>
            <w:r w:rsidRPr="008C72CE">
              <w:rPr>
                <w:rFonts w:ascii="Times New Roman" w:hAnsi="Times New Roman" w:cs="Times New Roman"/>
                <w:sz w:val="20"/>
                <w:szCs w:val="20"/>
                <w:lang w:val="en-US"/>
              </w:rPr>
              <w:t xml:space="preserve"> aptamer with a target</w:t>
            </w:r>
          </w:p>
        </w:tc>
        <w:tc>
          <w:tcPr>
            <w:tcW w:w="2127" w:type="dxa"/>
            <w:vAlign w:val="center"/>
          </w:tcPr>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Fluorescence (quantum dots)</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100</w:t>
            </w:r>
          </w:p>
        </w:tc>
        <w:tc>
          <w:tcPr>
            <w:tcW w:w="1559" w:type="dxa"/>
            <w:vAlign w:val="center"/>
          </w:tcPr>
          <w:p w:rsidR="002B6607" w:rsidRPr="00591BD9" w:rsidRDefault="002B6607" w:rsidP="0098663C">
            <w:pPr>
              <w:tabs>
                <w:tab w:val="left" w:pos="5420"/>
              </w:tabs>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"10.1371/journal.pone.0053935", "ISSN" : "19326203", "PMID" : "23393552", "abstract" : "Molecular logic gates, which have attracted increasing research interest and are crucial for the development of molecular-scale computers, simplify the results of measurements and detections, leaving the diagnosis of disease either \"yes\" or \"no\". Prion diseases are a group of fatal neurodegenerative disorders that happen in human and animals. The main problem with a diagnosis of prion diseases is how to sensitively and selectively discriminate and detection of the minute amount of PrPRes in biological samples. Our previous work had demonstrated that dual-aptamer strategy could achieve highly sensitive and selective discrimination and detection of prion protein (cellular prion protein, PrPC, and the diseases associated isoform, PrPRes) in serum and brain. Inspired by the advantages of molecular logic gate, we further conceived a new concept for dual-aptamer logic gate that responds to two chemical input signals (PrPC or PrPRes and Gdn-HCl) and generates a change in fluorescence intensity as the output signal. It was found that PrPRes performs the \"OR\" logic operation while PrPC performs \"XOR\" logic operation when they get through the gate consisted of aptamer modified reusable magnetic microparticles (MMPs-Apt1) and quantum dots (QDs-Apt2). The dual-aptamer logic gate simplifies the discrimination results of PrPRes, leaving the detection of PrPRes either \"yes\" or \"no\". The development of OR logic gate based on dual-aptamer strategy and two chemical input signals (PrPRes and Gdn-HCl) is an important step toward the design of prion diseases diagnosis and therapy systems. \u00a9 2013 Xiao et al.", "author" : [ { "dropping-particle" : "", "family" : "Xiao", "given" : "Sai Jin", "non-dropping-particle" : "", "parse-names" : false, "suffix" : "" }, { "dropping-particle" : "", "family" : "Hu", "given" : "Ping Ping", "non-dropping-particle" : "", "parse-names" : false, "suffix" : "" }, { "dropping-particle" : "", "family" : "Chen", "given" : "Li Qiang", "non-dropping-particle" : "", "parse-names" : false, "suffix" : "" }, { "dropping-particle" : "", "family" : "Zhen", "given" : "Shu Jun", "non-dropping-particle" : "", "parse-names" : false, "suffix" : "" }, { "dropping-particle" : "", "family" : "Peng", "given" : "Li", "non-dropping-particle" : "", "parse-names" : false, "suffix" : "" }, { "dropping-particle" : "", "family" : "Li", "given" : "Yuan Fang", "non-dropping-particle" : "", "parse-names" : false, "suffix" : "" }, { "dropping-particle" : "", "family" : "Huang", "given" : "Cheng Zhi", "non-dropping-particle" : "", "parse-names" : false, "suffix" : "" } ], "container-title" : "PLoS ONE", "id" : "ITEM-1", "issue" : "2", "issued" : { "date-parts" : [ [ "2013" ] ] }, "title" : "A Visual Dual-Aptamer Logic Gate for Sensitive Discrimination of Prion Diseases-Associated Isoform with Reusable Magnetic Microparticles and Fluorescence Quantum Dots", "type" : "article-journal", "volume" : "8" }, "uris" : [ "http://www.mendeley.com/documents/?uuid=a1d127a2-1d61-47fa-8800-91fb7d842a06" ] } ], "mendeley" : { "formattedCitation" : "[2]", "plainTextFormattedCitation" : "[2]", "previouslyFormattedCitation" : "[2]"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w:t>
            </w:r>
            <w:r w:rsidRPr="00591BD9">
              <w:rPr>
                <w:rFonts w:ascii="Times New Roman" w:hAnsi="Times New Roman" w:cs="Times New Roman"/>
                <w:sz w:val="20"/>
                <w:szCs w:val="20"/>
                <w:lang w:val="en-US"/>
              </w:rPr>
              <w:fldChar w:fldCharType="end"/>
            </w:r>
          </w:p>
        </w:tc>
      </w:tr>
      <w:tr w:rsidR="002B6607" w:rsidRPr="008C72CE" w:rsidTr="0098663C">
        <w:trPr>
          <w:trHeight w:val="699"/>
        </w:trPr>
        <w:tc>
          <w:tcPr>
            <w:tcW w:w="1951" w:type="dxa"/>
            <w:vAlign w:val="center"/>
          </w:tcPr>
          <w:p w:rsidR="00A16FF4" w:rsidRDefault="00A16FF4"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PDGF-BB</w:t>
            </w:r>
          </w:p>
          <w:p w:rsidR="002B6607" w:rsidRPr="008C72CE" w:rsidRDefault="002B6607" w:rsidP="0098663C">
            <w:pPr>
              <w:jc w:val="center"/>
              <w:rPr>
                <w:rFonts w:ascii="Times New Roman" w:hAnsi="Times New Roman" w:cs="Times New Roman"/>
                <w:sz w:val="20"/>
                <w:szCs w:val="20"/>
                <w:lang w:val="en-US"/>
              </w:rPr>
            </w:pPr>
            <w:bookmarkStart w:id="0" w:name="_GoBack"/>
            <w:bookmarkEnd w:id="0"/>
            <w:proofErr w:type="spellStart"/>
            <w:r w:rsidRPr="008C72CE">
              <w:rPr>
                <w:rFonts w:ascii="Times New Roman" w:hAnsi="Times New Roman" w:cs="Times New Roman"/>
                <w:sz w:val="20"/>
                <w:szCs w:val="20"/>
                <w:lang w:val="en-US"/>
              </w:rPr>
              <w:t>Hemin</w:t>
            </w:r>
            <w:proofErr w:type="spellEnd"/>
          </w:p>
        </w:tc>
        <w:tc>
          <w:tcPr>
            <w:tcW w:w="2835" w:type="dxa"/>
            <w:vAlign w:val="center"/>
          </w:tcPr>
          <w:p w:rsidR="002B6607" w:rsidRPr="008C72CE" w:rsidRDefault="002B6607" w:rsidP="0098663C">
            <w:pPr>
              <w:jc w:val="center"/>
              <w:rPr>
                <w:rFonts w:ascii="Times New Roman" w:hAnsi="Times New Roman" w:cs="Times New Roman"/>
                <w:sz w:val="20"/>
                <w:szCs w:val="20"/>
                <w:lang w:val="en-US"/>
              </w:rPr>
            </w:pPr>
            <w:proofErr w:type="spellStart"/>
            <w:r w:rsidRPr="008C72CE">
              <w:rPr>
                <w:rFonts w:ascii="Times New Roman" w:hAnsi="Times New Roman" w:cs="Times New Roman"/>
                <w:sz w:val="20"/>
                <w:szCs w:val="20"/>
                <w:lang w:val="en-US"/>
              </w:rPr>
              <w:t>iANDi</w:t>
            </w:r>
            <w:proofErr w:type="spellEnd"/>
          </w:p>
        </w:tc>
        <w:tc>
          <w:tcPr>
            <w:tcW w:w="2693" w:type="dxa"/>
            <w:vAlign w:val="center"/>
          </w:tcPr>
          <w:p w:rsidR="002B6607" w:rsidRPr="008C72CE"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The use of </w:t>
            </w:r>
            <w:proofErr w:type="spellStart"/>
            <w:r w:rsidRPr="006C39E0">
              <w:rPr>
                <w:rFonts w:ascii="Times New Roman" w:hAnsi="Times New Roman" w:cs="Times New Roman"/>
                <w:sz w:val="20"/>
                <w:szCs w:val="20"/>
                <w:lang w:val="en-US"/>
              </w:rPr>
              <w:t>bifunctional</w:t>
            </w:r>
            <w:proofErr w:type="spellEnd"/>
            <w:r w:rsidRPr="006C39E0">
              <w:rPr>
                <w:rFonts w:ascii="Times New Roman" w:hAnsi="Times New Roman" w:cs="Times New Roman"/>
                <w:sz w:val="20"/>
                <w:szCs w:val="20"/>
                <w:lang w:val="en-US"/>
              </w:rPr>
              <w:t xml:space="preserve"> aptamer</w:t>
            </w:r>
            <w:r>
              <w:rPr>
                <w:rFonts w:ascii="Times New Roman" w:hAnsi="Times New Roman" w:cs="Times New Roman"/>
                <w:sz w:val="20"/>
                <w:szCs w:val="20"/>
                <w:lang w:val="en-US"/>
              </w:rPr>
              <w:t>; s</w:t>
            </w:r>
            <w:r w:rsidRPr="008C72CE">
              <w:rPr>
                <w:rFonts w:ascii="Times New Roman" w:hAnsi="Times New Roman" w:cs="Times New Roman"/>
                <w:sz w:val="20"/>
                <w:szCs w:val="20"/>
                <w:lang w:val="en-US"/>
              </w:rPr>
              <w:t xml:space="preserve">witching </w:t>
            </w:r>
            <w:r>
              <w:rPr>
                <w:rFonts w:ascii="Times New Roman" w:hAnsi="Times New Roman" w:cs="Times New Roman"/>
                <w:sz w:val="20"/>
                <w:szCs w:val="20"/>
                <w:lang w:val="en-US"/>
              </w:rPr>
              <w:t>of an</w:t>
            </w:r>
            <w:r w:rsidRPr="008C72CE">
              <w:rPr>
                <w:rFonts w:ascii="Times New Roman" w:hAnsi="Times New Roman" w:cs="Times New Roman"/>
                <w:sz w:val="20"/>
                <w:szCs w:val="20"/>
                <w:lang w:val="en-US"/>
              </w:rPr>
              <w:t xml:space="preserve"> aptamer from hairpin DNA to </w:t>
            </w:r>
            <w:r>
              <w:rPr>
                <w:rFonts w:ascii="Times New Roman" w:hAnsi="Times New Roman" w:cs="Times New Roman"/>
                <w:sz w:val="20"/>
                <w:szCs w:val="20"/>
                <w:lang w:val="en-US"/>
              </w:rPr>
              <w:t>a</w:t>
            </w:r>
            <w:r w:rsidRPr="008C72CE">
              <w:rPr>
                <w:rFonts w:ascii="Times New Roman" w:hAnsi="Times New Roman" w:cs="Times New Roman"/>
                <w:sz w:val="20"/>
                <w:szCs w:val="20"/>
                <w:lang w:val="en-US"/>
              </w:rPr>
              <w:t xml:space="preserve"> complex with </w:t>
            </w:r>
            <w:r>
              <w:rPr>
                <w:rFonts w:ascii="Times New Roman" w:hAnsi="Times New Roman" w:cs="Times New Roman"/>
                <w:sz w:val="20"/>
                <w:szCs w:val="20"/>
                <w:lang w:val="en-US"/>
              </w:rPr>
              <w:t>a</w:t>
            </w:r>
            <w:r w:rsidRPr="008C72CE">
              <w:rPr>
                <w:rFonts w:ascii="Times New Roman" w:hAnsi="Times New Roman" w:cs="Times New Roman"/>
                <w:sz w:val="20"/>
                <w:szCs w:val="20"/>
                <w:lang w:val="en-US"/>
              </w:rPr>
              <w:t xml:space="preserve"> target</w:t>
            </w:r>
          </w:p>
        </w:tc>
        <w:tc>
          <w:tcPr>
            <w:tcW w:w="2127" w:type="dxa"/>
            <w:vAlign w:val="center"/>
          </w:tcPr>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 xml:space="preserve">Fluorescence (silver </w:t>
            </w:r>
            <w:proofErr w:type="spellStart"/>
            <w:r w:rsidRPr="008C72CE">
              <w:rPr>
                <w:rFonts w:ascii="Times New Roman" w:hAnsi="Times New Roman" w:cs="Times New Roman"/>
                <w:sz w:val="20"/>
                <w:szCs w:val="20"/>
                <w:lang w:val="en-US"/>
              </w:rPr>
              <w:t>nanoclusters</w:t>
            </w:r>
            <w:proofErr w:type="spellEnd"/>
            <w:r w:rsidRPr="008C72CE">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120</w:t>
            </w:r>
          </w:p>
        </w:tc>
        <w:tc>
          <w:tcPr>
            <w:tcW w:w="1559" w:type="dxa"/>
            <w:vAlign w:val="center"/>
          </w:tcPr>
          <w:p w:rsidR="002B6607" w:rsidRPr="00591BD9" w:rsidRDefault="002B6607" w:rsidP="0098663C">
            <w:pPr>
              <w:tabs>
                <w:tab w:val="left" w:pos="5420"/>
              </w:tabs>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"10.1016/j.bios.2014.07.067", "ISSN" : "18734235", "PMID" : "25150781", "abstract" : "Platelet-derived growth factor-BB (PDGF-BB) is often overexpressed in human malignant tumors as an indicator for tumor angiogenesis. Here by the photoinduced electron transfer (PET) between DNA-Ag fluorescent nanoclusters (NCs) and G-quadruplex/hemin complexes, we present a sensitive label-free fluorescent sensor for PDGF-BB. In the presence of PDGF-BB, the specific conjugation with its aptamer induced the conformational change of the duplex-like DNA sequence, releasing the G-quadruplex sequence part. Then in the presence of hemin and K+, the horseradish peroxidase mimicking DNAzyme (HRP-DNAzyme) was formed. With the electron transfer between the DNA-Ag NCs to the hemin Fe (III) center of HRP-DNAzyme, the PET occurred with a decrease in the fluorescence intensity of the DNA-Ag NCs. The detection performance such as selectivity, linear dynamic range, sensitivity, and the quenching capability of HRP-DNAzyme were estimated. The detection range for PDGF-BB is from 5\u00d710-13 to 1\u00d710-8M and the detection limit is 1\u00d710-13M. The experimental results confirmed that the novel fluorescent aptasensor possessed a good sensitivity and high selectivity for PDGF-BB. In addition, the developed probe is nontoxic, label-free only involving one-step hybridization without sophisticated fabrication process. Furthermore, based on this quenching mode occurred by PDGF-BB and hemin, using PDGF-BB and hemin as inputs and the fluorescence signal as an output, a logic gate has been fabricated. \u00a9 2014 Elsevier B.V.", "author" : [ { "dropping-particle" : "", "family" : "Wang", "given" : "Guangfeng", "non-dropping-particle" : "", "parse-names" : false, "suffix" : "" }, { "dropping-particle" : "", "family" : "Zhu", "given" : "Yanhong", "non-dropping-particle" : "", "parse-names" : false, "suffix" : "" }, { "dropping-particle" : "", "family" : "Chen", "given" : "Ling", "non-dropping-particle" : "", "parse-names" : false, "suffix" : "" }, { "dropping-particle" : "", "family" : "Zhang", "given" : "Xiaojun", "non-dropping-particle" : "", "parse-names" : false, "suffix" : "" } ], "container-title" : "Biosensors and Bioelectronics", "id" : "ITEM-1", "issued" : { "date-parts" : [ [ "2015" ] ] }, "page" : "552-557", "title" : "Photoinduced electron transfer (PET) based label-free aptasensor for platelet-derived growth factor-BB and its logic gate application", "type" : "article-journal", "volume" : "63" }, "uris" : [ "http://www.mendeley.com/documents/?uuid=b54945f0-1b19-413b-b33a-18e607c30a0f" ] } ], "mendeley" : { "formattedCitation" : "[3]", "plainTextFormattedCitation" : "[3]", "previouslyFormattedCitation" : "[3]"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w:t>
            </w:r>
            <w:r w:rsidRPr="00591BD9">
              <w:rPr>
                <w:rFonts w:ascii="Times New Roman" w:hAnsi="Times New Roman" w:cs="Times New Roman"/>
                <w:sz w:val="20"/>
                <w:szCs w:val="20"/>
                <w:lang w:val="en-US"/>
              </w:rPr>
              <w:fldChar w:fldCharType="end"/>
            </w:r>
          </w:p>
        </w:tc>
      </w:tr>
      <w:tr w:rsidR="002B6607" w:rsidRPr="004E2943" w:rsidTr="0098663C">
        <w:trPr>
          <w:trHeight w:val="699"/>
        </w:trPr>
        <w:tc>
          <w:tcPr>
            <w:tcW w:w="1951" w:type="dxa"/>
            <w:vAlign w:val="center"/>
          </w:tcPr>
          <w:p w:rsidR="002B6607" w:rsidRDefault="002B6607" w:rsidP="0098663C">
            <w:pPr>
              <w:jc w:val="center"/>
              <w:rPr>
                <w:rFonts w:ascii="Times New Roman" w:hAnsi="Times New Roman" w:cs="Times New Roman"/>
                <w:sz w:val="20"/>
                <w:szCs w:val="20"/>
                <w:lang w:val="en-US"/>
              </w:rPr>
            </w:pPr>
            <w:r w:rsidRPr="00030649">
              <w:rPr>
                <w:rFonts w:ascii="Times New Roman" w:hAnsi="Times New Roman" w:cs="Times New Roman"/>
                <w:sz w:val="20"/>
                <w:szCs w:val="20"/>
                <w:lang w:val="en-US"/>
              </w:rPr>
              <w:t>ATP</w:t>
            </w:r>
          </w:p>
          <w:p w:rsidR="002B6607" w:rsidRPr="008C72CE" w:rsidRDefault="002B6607" w:rsidP="0098663C">
            <w:pPr>
              <w:jc w:val="center"/>
              <w:rPr>
                <w:rFonts w:ascii="Times New Roman" w:hAnsi="Times New Roman" w:cs="Times New Roman"/>
                <w:sz w:val="20"/>
                <w:szCs w:val="20"/>
                <w:lang w:val="en-US"/>
              </w:rPr>
            </w:pPr>
            <w:r w:rsidRPr="00030649">
              <w:rPr>
                <w:rFonts w:ascii="Times New Roman" w:hAnsi="Times New Roman" w:cs="Times New Roman"/>
                <w:sz w:val="20"/>
                <w:szCs w:val="20"/>
                <w:lang w:val="en-US"/>
              </w:rPr>
              <w:t>VEGF</w:t>
            </w:r>
          </w:p>
        </w:tc>
        <w:tc>
          <w:tcPr>
            <w:tcW w:w="2835" w:type="dxa"/>
            <w:vAlign w:val="center"/>
          </w:tcPr>
          <w:p w:rsidR="002B6607" w:rsidRPr="008C72CE" w:rsidRDefault="002B6607" w:rsidP="0098663C">
            <w:pPr>
              <w:jc w:val="center"/>
              <w:rPr>
                <w:rFonts w:ascii="Times New Roman" w:hAnsi="Times New Roman" w:cs="Times New Roman"/>
                <w:sz w:val="20"/>
                <w:szCs w:val="20"/>
                <w:lang w:val="en-US"/>
              </w:rPr>
            </w:pPr>
            <w:proofErr w:type="spellStart"/>
            <w:r w:rsidRPr="008C72CE">
              <w:rPr>
                <w:rFonts w:ascii="Times New Roman" w:hAnsi="Times New Roman" w:cs="Times New Roman"/>
                <w:sz w:val="20"/>
                <w:szCs w:val="20"/>
                <w:lang w:val="en-US"/>
              </w:rPr>
              <w:t>iANDi</w:t>
            </w:r>
            <w:proofErr w:type="spellEnd"/>
          </w:p>
        </w:tc>
        <w:tc>
          <w:tcPr>
            <w:tcW w:w="2693" w:type="dxa"/>
            <w:vAlign w:val="center"/>
          </w:tcPr>
          <w:p w:rsidR="002B6607" w:rsidRPr="008C72CE" w:rsidRDefault="002B6607" w:rsidP="0098663C">
            <w:pPr>
              <w:jc w:val="center"/>
              <w:rPr>
                <w:rFonts w:ascii="Times New Roman" w:hAnsi="Times New Roman" w:cs="Times New Roman"/>
                <w:sz w:val="20"/>
                <w:szCs w:val="20"/>
                <w:lang w:val="en-US"/>
              </w:rPr>
            </w:pPr>
            <w:r w:rsidRPr="00D31240">
              <w:rPr>
                <w:rFonts w:ascii="Times New Roman" w:hAnsi="Times New Roman" w:cs="Times New Roman"/>
                <w:sz w:val="20"/>
                <w:szCs w:val="20"/>
                <w:lang w:val="en-US"/>
              </w:rPr>
              <w:t xml:space="preserve">Switching </w:t>
            </w:r>
            <w:r>
              <w:rPr>
                <w:rFonts w:ascii="Times New Roman" w:hAnsi="Times New Roman" w:cs="Times New Roman"/>
                <w:sz w:val="20"/>
                <w:szCs w:val="20"/>
                <w:lang w:val="en-US"/>
              </w:rPr>
              <w:t xml:space="preserve">of an aptamer from </w:t>
            </w:r>
            <w:proofErr w:type="spellStart"/>
            <w:r>
              <w:rPr>
                <w:rFonts w:ascii="Times New Roman" w:hAnsi="Times New Roman" w:cs="Times New Roman"/>
                <w:sz w:val="20"/>
                <w:szCs w:val="20"/>
                <w:lang w:val="en-US"/>
              </w:rPr>
              <w:t>dsDNA</w:t>
            </w:r>
            <w:proofErr w:type="spellEnd"/>
            <w:r>
              <w:rPr>
                <w:rFonts w:ascii="Times New Roman" w:hAnsi="Times New Roman" w:cs="Times New Roman"/>
                <w:sz w:val="20"/>
                <w:szCs w:val="20"/>
                <w:lang w:val="en-US"/>
              </w:rPr>
              <w:t xml:space="preserve"> to a</w:t>
            </w:r>
            <w:r w:rsidRPr="00D31240">
              <w:rPr>
                <w:rFonts w:ascii="Times New Roman" w:hAnsi="Times New Roman" w:cs="Times New Roman"/>
                <w:sz w:val="20"/>
                <w:szCs w:val="20"/>
                <w:lang w:val="en-US"/>
              </w:rPr>
              <w:t xml:space="preserve"> complex </w:t>
            </w:r>
            <w:r>
              <w:rPr>
                <w:rFonts w:ascii="Times New Roman" w:hAnsi="Times New Roman" w:cs="Times New Roman"/>
                <w:sz w:val="20"/>
                <w:szCs w:val="20"/>
                <w:lang w:val="en-US"/>
              </w:rPr>
              <w:t xml:space="preserve">with a </w:t>
            </w:r>
            <w:r w:rsidRPr="00D31240">
              <w:rPr>
                <w:rFonts w:ascii="Times New Roman" w:hAnsi="Times New Roman" w:cs="Times New Roman"/>
                <w:sz w:val="20"/>
                <w:szCs w:val="20"/>
                <w:lang w:val="en-US"/>
              </w:rPr>
              <w:t>target</w:t>
            </w:r>
          </w:p>
        </w:tc>
        <w:tc>
          <w:tcPr>
            <w:tcW w:w="2127" w:type="dxa"/>
            <w:vAlign w:val="center"/>
          </w:tcPr>
          <w:p w:rsidR="002B6607" w:rsidRPr="008C72CE" w:rsidRDefault="002B6607" w:rsidP="0098663C">
            <w:pPr>
              <w:jc w:val="center"/>
              <w:rPr>
                <w:rFonts w:ascii="Times New Roman" w:hAnsi="Times New Roman" w:cs="Times New Roman"/>
                <w:sz w:val="20"/>
                <w:szCs w:val="20"/>
                <w:lang w:val="en-US"/>
              </w:rPr>
            </w:pPr>
            <w:r w:rsidRPr="008C72CE">
              <w:rPr>
                <w:rFonts w:ascii="Times New Roman" w:hAnsi="Times New Roman" w:cs="Times New Roman"/>
                <w:sz w:val="20"/>
                <w:szCs w:val="20"/>
                <w:lang w:val="en-US"/>
              </w:rPr>
              <w:t>Fluorescence (Texas Red</w:t>
            </w:r>
            <w:r>
              <w:rPr>
                <w:rFonts w:ascii="Times New Roman" w:hAnsi="Times New Roman" w:cs="Times New Roman"/>
                <w:sz w:val="20"/>
                <w:szCs w:val="20"/>
                <w:lang w:val="en-US"/>
              </w:rPr>
              <w:t xml:space="preserve">, </w:t>
            </w:r>
            <w:proofErr w:type="spellStart"/>
            <w:r w:rsidRPr="00030649">
              <w:rPr>
                <w:rFonts w:ascii="Times New Roman" w:hAnsi="Times New Roman" w:cs="Times New Roman"/>
                <w:sz w:val="20"/>
                <w:szCs w:val="20"/>
                <w:lang w:val="en-US"/>
              </w:rPr>
              <w:t>tetramethylrhodamine</w:t>
            </w:r>
            <w:proofErr w:type="spellEnd"/>
            <w:r w:rsidRPr="008C72CE">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50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"10.1002/adfm.201600069", "ISSN" : "16163028", "abstract" : "The synthesis of microcapsules consisting of DNA shells crosslinked by anti-VEGF (vascular epithelial growth factor) or anti-ATP (adenosine triphosphate) aptamers and loaded with tetramethylrhodamine-modified dextran, TMR-D, and Texas Red-modified dextran, TR-D, respectively, as fluorescence labels acting as models for drug loads, is described. The aptamer-functionalized microcapsules act as stimuli-responsive carriers for the triggered release of the fluorescent labels in the presence of the overexpressed cancer cell biomarkers VEGF or ATP. The VEGF- and ATP-responsive microcapsules are, also, loaded with the anticancer drug doxorubicin (DOX), in the form of DOX-functionalized dextran, DOX-D. The release of DOX-D from the respective microcapsules proceeds in the presence of VEGF or ATP as triggers. Preliminary cell experiments reveal that the ATP-responsive DOX-D-loaded microcapsules undergo effective endocytosis into MDA-MB-231 cancer cells. The ATP-responsive DOX-D-loaded microcapsules incorporated into the MDA-MB-231 cancer cells reveal impressive cytotoxicity as compared to normal epithelial MCF-10A breast cells (50% vs 0% cell death after 24 h, respectively). The cytotoxicity of the ATP-responsive DOX-D-loaded microcapsules toward the cancer cells is attributed to the effective unlocking of the microcapsules by overexpressed ATP, and to the subsequent release of DOX from the dextran backbone under acidic conditions present in cancer cells (pH = 6.2).", "author" : [ { "dropping-particle" : "", "family" : "Liao", "given" : "Wei Ching", "non-dropping-particle" : "", "parse-names" : false, "suffix" : "" }, { "dropping-particle" : "", "family" : "Sohn", "given" : "Yang Sung", "non-dropping-particle" : "", "parse-names" : false, "suffix" : "" }, { "dropping-particle" : "", "family" : "Riutin", "given" : "Marianna", "non-dropping-particle" : "", "parse-names" : false, "suffix" : "" }, { "dropping-particle" : "", "family" : "Cecconello", "given" : "Alessandro", "non-dropping-particle" : "", "parse-names" : false, "suffix" : "" }, { "dropping-particle" : "", "family" : "Parak", "given" : "Wolfgang J.", "non-dropping-particle" : "", "parse-names" : false, "suffix" : "" }, { "dropping-particle" : "", "family" : "Nechushtai", "given" : "Rachel", "non-dropping-particle" : "", "parse-names" : false, "suffix" : "" }, { "dropping-particle" : "", "family" : "Willner", "given" : "Itamar", "non-dropping-particle" : "", "parse-names" : false, "suffix" : "" } ], "container-title" : "Advanced Functional Materials", "id" : "ITEM-1", "issue" : "24", "issued" : { "date-parts" : [ [ "2016" ] ] }, "page" : "4262-4273", "title" : "The Application of Stimuli-Responsive VEGF- and ATP-Aptamer-Based Microcapsules for the Controlled Release of an Anticancer Drug, and the Selective Targeted Cytotoxicity toward Cancer Cells", "type" : "article-journal", "volume" : "26" }, "uris" : [ "http://www.mendeley.com/documents/?uuid=dbd164b2-d259-4d4e-aeb3-8cc45595f8f1" ] } ], "mendeley" : { "formattedCitation" : "[4]", "plainTextFormattedCitation" : "[4]", "previouslyFormattedCitation" : "[4]"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[4]</w:t>
            </w:r>
            <w:r w:rsidRPr="00591BD9">
              <w:rPr>
                <w:rFonts w:ascii="Times New Roman" w:hAnsi="Times New Roman" w:cs="Times New Roman"/>
                <w:sz w:val="20"/>
                <w:szCs w:val="20"/>
                <w:lang w:val="en-US"/>
              </w:rPr>
              <w:fldChar w:fldCharType="end"/>
            </w:r>
          </w:p>
        </w:tc>
      </w:tr>
      <w:tr w:rsidR="002B6607" w:rsidRPr="00243FD9" w:rsidTr="0098663C">
        <w:trPr>
          <w:trHeight w:val="699"/>
        </w:trPr>
        <w:tc>
          <w:tcPr>
            <w:tcW w:w="14283" w:type="dxa"/>
            <w:gridSpan w:val="6"/>
            <w:vAlign w:val="center"/>
          </w:tcPr>
          <w:p w:rsidR="002B6607" w:rsidRPr="00591BD9" w:rsidRDefault="002B6607" w:rsidP="0098663C">
            <w:pPr>
              <w:rPr>
                <w:rFonts w:ascii="Times New Roman" w:hAnsi="Times New Roman" w:cs="Times New Roman"/>
                <w:sz w:val="20"/>
                <w:szCs w:val="20"/>
                <w:lang w:val="en-US"/>
              </w:rPr>
            </w:pPr>
            <w:r w:rsidRPr="00591BD9">
              <w:rPr>
                <w:rFonts w:ascii="Times New Roman" w:hAnsi="Times New Roman" w:cs="Times New Roman"/>
                <w:b/>
                <w:sz w:val="20"/>
                <w:szCs w:val="20"/>
                <w:lang w:val="en-US"/>
              </w:rPr>
              <w:t>The colorimetric output in the solution due to the catalytic labels</w:t>
            </w:r>
          </w:p>
        </w:tc>
      </w:tr>
      <w:tr w:rsidR="002B6607" w:rsidRPr="00645AC8" w:rsidTr="0098663C">
        <w:trPr>
          <w:trHeight w:val="699"/>
        </w:trPr>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AMP</w:t>
            </w:r>
          </w:p>
          <w:p w:rsidR="002B6607" w:rsidRPr="00243FD9"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cocaine</w:t>
            </w:r>
          </w:p>
        </w:tc>
        <w:tc>
          <w:tcPr>
            <w:tcW w:w="2835" w:type="dxa"/>
            <w:vAlign w:val="center"/>
          </w:tcPr>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4E2943">
              <w:rPr>
                <w:rFonts w:ascii="Times New Roman" w:hAnsi="Times New Roman" w:cs="Times New Roman"/>
                <w:sz w:val="20"/>
                <w:szCs w:val="20"/>
                <w:lang w:val="en-US"/>
              </w:rPr>
              <w:t>OR</w:t>
            </w:r>
            <w:r>
              <w:rPr>
                <w:rFonts w:ascii="Times New Roman" w:hAnsi="Times New Roman" w:cs="Times New Roman"/>
                <w:sz w:val="20"/>
                <w:szCs w:val="20"/>
                <w:lang w:val="en-US"/>
              </w:rPr>
              <w:t>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4E2943">
              <w:rPr>
                <w:rFonts w:ascii="Times New Roman" w:hAnsi="Times New Roman" w:cs="Times New Roman"/>
                <w:sz w:val="20"/>
                <w:szCs w:val="20"/>
                <w:lang w:val="en-US"/>
              </w:rPr>
              <w:t>AND</w:t>
            </w:r>
            <w:r>
              <w:rPr>
                <w:rFonts w:ascii="Times New Roman" w:hAnsi="Times New Roman" w:cs="Times New Roman"/>
                <w:sz w:val="20"/>
                <w:szCs w:val="20"/>
                <w:lang w:val="en-US"/>
              </w:rPr>
              <w:t>i</w:t>
            </w:r>
            <w:proofErr w:type="spellEnd"/>
          </w:p>
          <w:p w:rsidR="002B6607" w:rsidRPr="008C72CE"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4E2943">
              <w:rPr>
                <w:rFonts w:ascii="Times New Roman" w:hAnsi="Times New Roman" w:cs="Times New Roman"/>
                <w:sz w:val="20"/>
                <w:szCs w:val="20"/>
                <w:lang w:val="en-US"/>
              </w:rPr>
              <w:t>XOR</w:t>
            </w:r>
            <w:r>
              <w:rPr>
                <w:rFonts w:ascii="Times New Roman" w:hAnsi="Times New Roman" w:cs="Times New Roman"/>
                <w:sz w:val="20"/>
                <w:szCs w:val="20"/>
                <w:lang w:val="en-US"/>
              </w:rPr>
              <w:t>i</w:t>
            </w:r>
            <w:proofErr w:type="spellEnd"/>
          </w:p>
        </w:tc>
        <w:tc>
          <w:tcPr>
            <w:tcW w:w="2693" w:type="dxa"/>
            <w:vAlign w:val="center"/>
          </w:tcPr>
          <w:p w:rsidR="002B6607" w:rsidRPr="00D31240" w:rsidRDefault="002B6607" w:rsidP="0098663C">
            <w:pPr>
              <w:jc w:val="center"/>
              <w:rPr>
                <w:rFonts w:ascii="Times New Roman" w:hAnsi="Times New Roman" w:cs="Times New Roman"/>
                <w:sz w:val="20"/>
                <w:szCs w:val="20"/>
                <w:lang w:val="en-US"/>
              </w:rPr>
            </w:pPr>
            <w:r w:rsidRPr="00D31240">
              <w:rPr>
                <w:rFonts w:ascii="Times New Roman" w:hAnsi="Times New Roman" w:cs="Times New Roman"/>
                <w:sz w:val="20"/>
                <w:szCs w:val="20"/>
                <w:lang w:val="en-US"/>
              </w:rPr>
              <w:t xml:space="preserve">Switching </w:t>
            </w:r>
            <w:r>
              <w:rPr>
                <w:rFonts w:ascii="Times New Roman" w:hAnsi="Times New Roman" w:cs="Times New Roman"/>
                <w:sz w:val="20"/>
                <w:szCs w:val="20"/>
                <w:lang w:val="en-US"/>
              </w:rPr>
              <w:t>of an</w:t>
            </w:r>
            <w:r w:rsidRPr="00D31240">
              <w:rPr>
                <w:rFonts w:ascii="Times New Roman" w:hAnsi="Times New Roman" w:cs="Times New Roman"/>
                <w:sz w:val="20"/>
                <w:szCs w:val="20"/>
                <w:lang w:val="en-US"/>
              </w:rPr>
              <w:t xml:space="preserve"> aptamer from </w:t>
            </w:r>
            <w:proofErr w:type="spellStart"/>
            <w:r w:rsidRPr="00D31240">
              <w:rPr>
                <w:rFonts w:ascii="Times New Roman" w:hAnsi="Times New Roman" w:cs="Times New Roman"/>
                <w:sz w:val="20"/>
                <w:szCs w:val="20"/>
                <w:lang w:val="en-US"/>
              </w:rPr>
              <w:t>dsDNA</w:t>
            </w:r>
            <w:proofErr w:type="spellEnd"/>
            <w:r w:rsidRPr="00D31240">
              <w:rPr>
                <w:rFonts w:ascii="Times New Roman" w:hAnsi="Times New Roman" w:cs="Times New Roman"/>
                <w:sz w:val="20"/>
                <w:szCs w:val="20"/>
                <w:lang w:val="en-US"/>
              </w:rPr>
              <w:t xml:space="preserve"> to </w:t>
            </w:r>
            <w:r>
              <w:rPr>
                <w:rFonts w:ascii="Times New Roman" w:hAnsi="Times New Roman" w:cs="Times New Roman"/>
                <w:sz w:val="20"/>
                <w:szCs w:val="20"/>
                <w:lang w:val="en-US"/>
              </w:rPr>
              <w:t>a</w:t>
            </w:r>
            <w:r w:rsidRPr="00D31240">
              <w:rPr>
                <w:rFonts w:ascii="Times New Roman" w:hAnsi="Times New Roman" w:cs="Times New Roman"/>
                <w:sz w:val="20"/>
                <w:szCs w:val="20"/>
                <w:lang w:val="en-US"/>
              </w:rPr>
              <w:t xml:space="preserve"> complex </w:t>
            </w:r>
            <w:r>
              <w:rPr>
                <w:rFonts w:ascii="Times New Roman" w:hAnsi="Times New Roman" w:cs="Times New Roman"/>
                <w:sz w:val="20"/>
                <w:szCs w:val="20"/>
                <w:lang w:val="en-US"/>
              </w:rPr>
              <w:t xml:space="preserve">with a </w:t>
            </w:r>
            <w:r w:rsidRPr="00D31240">
              <w:rPr>
                <w:rFonts w:ascii="Times New Roman" w:hAnsi="Times New Roman" w:cs="Times New Roman"/>
                <w:sz w:val="20"/>
                <w:szCs w:val="20"/>
                <w:lang w:val="en-US"/>
              </w:rPr>
              <w:t>target</w:t>
            </w:r>
          </w:p>
        </w:tc>
        <w:tc>
          <w:tcPr>
            <w:tcW w:w="2127" w:type="dxa"/>
            <w:vAlign w:val="center"/>
          </w:tcPr>
          <w:p w:rsidR="002B6607" w:rsidRPr="008C72CE"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Colorimetric reaction of the </w:t>
            </w:r>
            <w:proofErr w:type="spellStart"/>
            <w:r>
              <w:rPr>
                <w:rFonts w:ascii="Times New Roman" w:hAnsi="Times New Roman" w:cs="Times New Roman"/>
                <w:sz w:val="20"/>
                <w:szCs w:val="20"/>
                <w:lang w:val="en-US"/>
              </w:rPr>
              <w:t>hemin</w:t>
            </w:r>
            <w:proofErr w:type="spellEnd"/>
            <w:r>
              <w:rPr>
                <w:rFonts w:ascii="Times New Roman" w:hAnsi="Times New Roman" w:cs="Times New Roman"/>
                <w:sz w:val="20"/>
                <w:szCs w:val="20"/>
                <w:lang w:val="en-US"/>
              </w:rPr>
              <w:t xml:space="preserve">-containing </w:t>
            </w:r>
            <w:proofErr w:type="spellStart"/>
            <w:r>
              <w:rPr>
                <w:rFonts w:ascii="Times New Roman" w:hAnsi="Times New Roman" w:cs="Times New Roman"/>
                <w:sz w:val="20"/>
                <w:szCs w:val="20"/>
                <w:lang w:val="en-US"/>
              </w:rPr>
              <w:t>DNAzyme</w:t>
            </w:r>
            <w:proofErr w:type="spellEnd"/>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22</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"10.1021/nn900085x", "ISSN" : "19360851", "abstract" : "A series of logic gates, \"AND\", \"OR\", and \"XOR\", are designed using a DNA scaffold that includes four \"footholds\" on which the logic operations are activated. Two of the footholds represent input-recognition strands, and these are blocked by complementary nucleic acids, whereas the other two footholds are blocked by nucleic acids that include the horseradish peroxidase (HRP)-mimicking DNAzyme sequence. The logic gates are activated by either nucleic acid inputs that hybridize to the respective \"footholds\", or by low-molecular-weight inputs (adenosine monophosphate or cocaine) that yield the respective aptamersubstrate complexes. This results in the respective translocation of the blocking nucleic acids to the footholds carrying the HRP-mimicking DNAzyme sequence, and the concomitant release of the respective DNAzyme. The released product-strands then self-assemble into the hemin/G-quadruplex-HRP-mimicking DNAzyme that biocatalyzes the formation of a colored product and provides an output signal for the different logic gates.The principle of the logic operation is, then, implemented as a possible paradigm for future nanomedicine. The nucleic acid inputs that bind to the blocked footholds result in the translocation of the blocking nucleic acids to the respective footholds carrying the antithrombin aptamer. The released aptamer inhibits, then, the hydrolytic activity of thrombin. The system demonstrates the regulation of a biocatalytic reaction by a translator system activated on a DNA scaffold. \u00a92009 American Chemical Society.", "author" : [ { "dropping-particle" : "", "family" : "Shlyahovsky", "given" : "Bella", "non-dropping-particle" : "", "parse-names" : false, "suffix" : "" }, { "dropping-particle" : "", "family" : "Li", "given" : "Yang", "non-dropping-particle" : "", "parse-names" : false, "suffix" : "" }, { "dropping-particle" : "", "family" : "Lioubashevski", "given" : "Oleg", "non-dropping-particle" : "", "parse-names" : false, "suffix" : "" }, { "dropping-particle" : "", "family" : "Elbaz", "given" : "Johann", "non-dropping-particle" : "", "parse-names" : false, "suffix" : "" }, { "dropping-particle" : "", "family" : "Willner", "given" : "Itamar", "non-dropping-particle" : "", "parse-names" : false, "suffix" : "" } ], "container-title" : "ACS Nano", "id" : "ITEM-1", "issue" : "7", "issued" : { "date-parts" : [ [ "2009" ] ] }, "page" : "1831-1843", "title" : "Logic gates and antisense DNA devices operating on a translator nucleic acid scaffold", "type" : "article-journal", "volume" : "3" }, "uris" : [ "http://www.mendeley.com/documents/?uuid=ff5c6ae7-9303-47bb-b112-75d76c792fed" ] } ], "mendeley" : { "formattedCitation" : "[5]", "plainTextFormattedCitation" : "[5]", "previouslyFormattedCitation" : "[5]"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[5]</w:t>
            </w:r>
            <w:r w:rsidRPr="00591BD9">
              <w:rPr>
                <w:rFonts w:ascii="Times New Roman" w:hAnsi="Times New Roman" w:cs="Times New Roman"/>
                <w:sz w:val="20"/>
                <w:szCs w:val="20"/>
                <w:lang w:val="en-US"/>
              </w:rPr>
              <w:fldChar w:fldCharType="end"/>
            </w:r>
          </w:p>
        </w:tc>
      </w:tr>
      <w:tr w:rsidR="002B6607" w:rsidRPr="00645AC8" w:rsidTr="0098663C">
        <w:trPr>
          <w:trHeight w:val="699"/>
        </w:trPr>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AMP</w:t>
            </w:r>
          </w:p>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cocaine</w:t>
            </w:r>
          </w:p>
        </w:tc>
        <w:tc>
          <w:tcPr>
            <w:tcW w:w="2835" w:type="dxa"/>
            <w:vAlign w:val="center"/>
          </w:tcPr>
          <w:p w:rsidR="002B6607" w:rsidRDefault="002B6607" w:rsidP="0098663C">
            <w:pPr>
              <w:jc w:val="center"/>
              <w:rPr>
                <w:rFonts w:ascii="Times New Roman" w:hAnsi="Times New Roman" w:cs="Times New Roman"/>
                <w:sz w:val="20"/>
                <w:szCs w:val="20"/>
                <w:lang w:val="en-US"/>
              </w:rPr>
            </w:pPr>
            <w:proofErr w:type="spellStart"/>
            <w:r w:rsidRPr="00C10619">
              <w:rPr>
                <w:rFonts w:ascii="Times New Roman" w:hAnsi="Times New Roman" w:cs="Times New Roman"/>
                <w:sz w:val="20"/>
                <w:szCs w:val="20"/>
                <w:lang w:val="en-US"/>
              </w:rPr>
              <w:t>iORi</w:t>
            </w:r>
            <w:proofErr w:type="spellEnd"/>
          </w:p>
        </w:tc>
        <w:tc>
          <w:tcPr>
            <w:tcW w:w="2693" w:type="dxa"/>
            <w:vAlign w:val="center"/>
          </w:tcPr>
          <w:p w:rsidR="002B6607" w:rsidRPr="00D31240"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The use of </w:t>
            </w:r>
            <w:proofErr w:type="spellStart"/>
            <w:r w:rsidRPr="006C39E0">
              <w:rPr>
                <w:rFonts w:ascii="Times New Roman" w:hAnsi="Times New Roman" w:cs="Times New Roman"/>
                <w:sz w:val="20"/>
                <w:szCs w:val="20"/>
                <w:lang w:val="en-US"/>
              </w:rPr>
              <w:t>bifunctional</w:t>
            </w:r>
            <w:proofErr w:type="spellEnd"/>
            <w:r w:rsidRPr="006C39E0">
              <w:rPr>
                <w:rFonts w:ascii="Times New Roman" w:hAnsi="Times New Roman" w:cs="Times New Roman"/>
                <w:sz w:val="20"/>
                <w:szCs w:val="20"/>
                <w:lang w:val="en-US"/>
              </w:rPr>
              <w:t xml:space="preserve"> aptamer</w:t>
            </w:r>
            <w:r>
              <w:rPr>
                <w:rFonts w:ascii="Times New Roman" w:hAnsi="Times New Roman" w:cs="Times New Roman"/>
                <w:sz w:val="20"/>
                <w:szCs w:val="20"/>
                <w:lang w:val="en-US"/>
              </w:rPr>
              <w:t>; s</w:t>
            </w:r>
            <w:r w:rsidRPr="00D31240">
              <w:rPr>
                <w:rFonts w:ascii="Times New Roman" w:hAnsi="Times New Roman" w:cs="Times New Roman"/>
                <w:sz w:val="20"/>
                <w:szCs w:val="20"/>
                <w:lang w:val="en-US"/>
              </w:rPr>
              <w:t xml:space="preserve">witching </w:t>
            </w:r>
            <w:r>
              <w:rPr>
                <w:rFonts w:ascii="Times New Roman" w:hAnsi="Times New Roman" w:cs="Times New Roman"/>
                <w:sz w:val="20"/>
                <w:szCs w:val="20"/>
                <w:lang w:val="en-US"/>
              </w:rPr>
              <w:t>of an</w:t>
            </w:r>
            <w:r w:rsidRPr="00D31240">
              <w:rPr>
                <w:rFonts w:ascii="Times New Roman" w:hAnsi="Times New Roman" w:cs="Times New Roman"/>
                <w:sz w:val="20"/>
                <w:szCs w:val="20"/>
                <w:lang w:val="en-US"/>
              </w:rPr>
              <w:t xml:space="preserve"> aptamer from </w:t>
            </w:r>
            <w:proofErr w:type="spellStart"/>
            <w:r w:rsidRPr="00D31240">
              <w:rPr>
                <w:rFonts w:ascii="Times New Roman" w:hAnsi="Times New Roman" w:cs="Times New Roman"/>
                <w:sz w:val="20"/>
                <w:szCs w:val="20"/>
                <w:lang w:val="en-US"/>
              </w:rPr>
              <w:t>dsDNA</w:t>
            </w:r>
            <w:proofErr w:type="spellEnd"/>
            <w:r w:rsidRPr="00D31240">
              <w:rPr>
                <w:rFonts w:ascii="Times New Roman" w:hAnsi="Times New Roman" w:cs="Times New Roman"/>
                <w:sz w:val="20"/>
                <w:szCs w:val="20"/>
                <w:lang w:val="en-US"/>
              </w:rPr>
              <w:t xml:space="preserve"> to </w:t>
            </w:r>
            <w:r>
              <w:rPr>
                <w:rFonts w:ascii="Times New Roman" w:hAnsi="Times New Roman" w:cs="Times New Roman"/>
                <w:sz w:val="20"/>
                <w:szCs w:val="20"/>
                <w:lang w:val="en-US"/>
              </w:rPr>
              <w:t>a</w:t>
            </w:r>
            <w:r w:rsidRPr="00D31240">
              <w:rPr>
                <w:rFonts w:ascii="Times New Roman" w:hAnsi="Times New Roman" w:cs="Times New Roman"/>
                <w:sz w:val="20"/>
                <w:szCs w:val="20"/>
                <w:lang w:val="en-US"/>
              </w:rPr>
              <w:t xml:space="preserve"> complex </w:t>
            </w:r>
            <w:r>
              <w:rPr>
                <w:rFonts w:ascii="Times New Roman" w:hAnsi="Times New Roman" w:cs="Times New Roman"/>
                <w:sz w:val="20"/>
                <w:szCs w:val="20"/>
                <w:lang w:val="en-US"/>
              </w:rPr>
              <w:t xml:space="preserve">with a </w:t>
            </w:r>
            <w:r w:rsidRPr="00D31240">
              <w:rPr>
                <w:rFonts w:ascii="Times New Roman" w:hAnsi="Times New Roman" w:cs="Times New Roman"/>
                <w:sz w:val="20"/>
                <w:szCs w:val="20"/>
                <w:lang w:val="en-US"/>
              </w:rPr>
              <w:t>target</w:t>
            </w:r>
          </w:p>
        </w:tc>
        <w:tc>
          <w:tcPr>
            <w:tcW w:w="2127"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Colorimetric reaction of the </w:t>
            </w:r>
            <w:proofErr w:type="spellStart"/>
            <w:r>
              <w:rPr>
                <w:rFonts w:ascii="Times New Roman" w:hAnsi="Times New Roman" w:cs="Times New Roman"/>
                <w:sz w:val="20"/>
                <w:szCs w:val="20"/>
                <w:lang w:val="en-US"/>
              </w:rPr>
              <w:t>hemin</w:t>
            </w:r>
            <w:proofErr w:type="spellEnd"/>
            <w:r>
              <w:rPr>
                <w:rFonts w:ascii="Times New Roman" w:hAnsi="Times New Roman" w:cs="Times New Roman"/>
                <w:sz w:val="20"/>
                <w:szCs w:val="20"/>
                <w:lang w:val="en-US"/>
              </w:rPr>
              <w:t xml:space="preserve">-containing </w:t>
            </w:r>
            <w:proofErr w:type="spellStart"/>
            <w:r>
              <w:rPr>
                <w:rFonts w:ascii="Times New Roman" w:hAnsi="Times New Roman" w:cs="Times New Roman"/>
                <w:sz w:val="20"/>
                <w:szCs w:val="20"/>
                <w:lang w:val="en-US"/>
              </w:rPr>
              <w:t>DNAzyme</w:t>
            </w:r>
            <w:proofErr w:type="spellEnd"/>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62</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"10.1002/cbic.200700436", "ISSN" : "14394227", "PMID" : "18161727", "abstract" : "A bifunctional aptamer that includes two aptamer units for cocaine and adenosine 5\u2032-monophosphate (AMP) is blocked by a nucleic acid to form a hybrid structure with two duplex regions. The blocked bifunctional aptamer assembly is used as a functional structure for the simultaneous sensing of cocaine or AMP. The blocked bifunctional aptamer is dissociated by either of the two analytes, and the readout of the separation of the sensing structure is accomplished by a colorimetric detection, by a released DNAzyme, or by electronic means that use Faradaic impedance spectroscopy or field-effect transistors. In one configuration, the blocked bifunctional aptamer structure is separated by the substrates cocaine or AMP, and the displaced blocker units act as a horseradish peroxidase-mimicking DNAzyme that permits the colorimetric detection of the analytes. In the second system, the blocked bifunctional aptamer hybrid is associated with a Au electrode. The displacement of the aptamer by any of the substrates alters the interfacial electron transfer resistance at the electrode surface, thus providing an electronic signal for the sensing process. In the third configuration, the blocked aptamer hybrid is linked to the gate of a field-effect transistor device. The separation of the complex by means of any of the analytes, cocaine, or AMP alters the gate potential, and this allows the electronic transduction of the sensing process by following the changes in the gate-to-source potentials. The different systems enable not only the simultaneous detection of the two analytes, but they provide a functional assembly that performs a logic gate \"OR\" operation. \u00a9 2008 Wiley-VCH Verlag GmbH &amp; Co. KGaA.", "author" : [ { "dropping-particle" : "", "family" : "Elbaz", "given" : "Johann", "non-dropping-particle" : "", "parse-names" : false, "suffix" : "" }, { "dropping-particle" : "", "family" : "Shlyahovsky", "given" : "Bella", "non-dropping-particle" : "", "parse-names" : false, "suffix" : "" }, { "dropping-particle" : "", "family" : "Li", "given" : "Di", "non-dropping-particle" : "", "parse-names" : false, "suffix" : "" }, { "dropping-particle" : "", "family" : "Willner", "given" : "Itamar", "non-dropping-particle" : "", "parse-names" : false, "suffix" : "" } ], "container-title" : "ChemBioChem", "id" : "ITEM-1", "issue" : "2", "issued" : { "date-parts" : [ [ "2008" ] ] }, "page" : "232-239", "title" : "Parallel analysis of two analytes in solutions or on surfaces by using a bifunctional aptamer: Applications for biosensing and logic gate operations", "type" : "article-journal", "volume" : "9" }, "uris" : [ "http://www.mendeley.com/documents/?uuid=8146cb67-3563-49ea-b901-9c77dffda4f3" ] } ], "mendeley" : { "formattedCitation" : "[6]", "plainTextFormattedCitation" : "[6]", "previouslyFormattedCitation" : "[6]"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[6]</w:t>
            </w:r>
            <w:r w:rsidRPr="00591BD9">
              <w:rPr>
                <w:rFonts w:ascii="Times New Roman" w:hAnsi="Times New Roman" w:cs="Times New Roman"/>
                <w:sz w:val="20"/>
                <w:szCs w:val="20"/>
                <w:lang w:val="en-US"/>
              </w:rPr>
              <w:fldChar w:fldCharType="end"/>
            </w:r>
          </w:p>
        </w:tc>
      </w:tr>
      <w:tr w:rsidR="002B6607" w:rsidRPr="00062F3F" w:rsidTr="0098663C">
        <w:trPr>
          <w:trHeight w:val="699"/>
        </w:trPr>
        <w:tc>
          <w:tcPr>
            <w:tcW w:w="14283" w:type="dxa"/>
            <w:gridSpan w:val="6"/>
            <w:vAlign w:val="center"/>
          </w:tcPr>
          <w:p w:rsidR="002B6607" w:rsidRPr="00591BD9" w:rsidRDefault="002B6607" w:rsidP="0098663C">
            <w:pPr>
              <w:rPr>
                <w:rFonts w:ascii="Times New Roman" w:hAnsi="Times New Roman" w:cs="Times New Roman"/>
                <w:sz w:val="16"/>
                <w:szCs w:val="16"/>
                <w:lang w:val="en-US"/>
              </w:rPr>
            </w:pPr>
            <w:r w:rsidRPr="00591BD9">
              <w:rPr>
                <w:rFonts w:ascii="Times New Roman" w:hAnsi="Times New Roman" w:cs="Times New Roman"/>
                <w:b/>
                <w:sz w:val="20"/>
                <w:szCs w:val="20"/>
                <w:lang w:val="en-US"/>
              </w:rPr>
              <w:t>Logic gates based on covalently modified gold nanoparticles</w:t>
            </w:r>
          </w:p>
        </w:tc>
      </w:tr>
      <w:tr w:rsidR="002B6607" w:rsidRPr="00875A1C" w:rsidTr="0098663C">
        <w:trPr>
          <w:trHeight w:val="699"/>
        </w:trPr>
        <w:tc>
          <w:tcPr>
            <w:tcW w:w="1951" w:type="dxa"/>
            <w:vAlign w:val="center"/>
          </w:tcPr>
          <w:p w:rsidR="002B6607" w:rsidRPr="00875A1C" w:rsidRDefault="002B6607" w:rsidP="0098663C">
            <w:pPr>
              <w:jc w:val="center"/>
              <w:rPr>
                <w:rFonts w:ascii="Times New Roman" w:hAnsi="Times New Roman" w:cs="Times New Roman"/>
                <w:sz w:val="20"/>
                <w:szCs w:val="20"/>
                <w:lang w:val="en-US"/>
              </w:rPr>
            </w:pPr>
            <w:r w:rsidRPr="00875A1C">
              <w:rPr>
                <w:rFonts w:ascii="Times New Roman" w:hAnsi="Times New Roman" w:cs="Times New Roman"/>
                <w:sz w:val="20"/>
                <w:szCs w:val="20"/>
                <w:lang w:val="en-US"/>
              </w:rPr>
              <w:lastRenderedPageBreak/>
              <w:t>Hg</w:t>
            </w:r>
            <w:r w:rsidRPr="00875A1C">
              <w:rPr>
                <w:rFonts w:ascii="Times New Roman" w:hAnsi="Times New Roman" w:cs="Times New Roman"/>
                <w:sz w:val="20"/>
                <w:szCs w:val="20"/>
                <w:vertAlign w:val="superscript"/>
                <w:lang w:val="en-US"/>
              </w:rPr>
              <w:t>2+</w:t>
            </w:r>
            <w:r w:rsidRPr="00875A1C">
              <w:rPr>
                <w:rFonts w:ascii="Times New Roman" w:hAnsi="Times New Roman" w:cs="Times New Roman"/>
                <w:sz w:val="20"/>
                <w:szCs w:val="20"/>
                <w:lang w:val="en-US"/>
              </w:rPr>
              <w:t xml:space="preserve"> ions</w:t>
            </w:r>
          </w:p>
          <w:p w:rsidR="002B6607" w:rsidRPr="00875A1C" w:rsidRDefault="002B6607" w:rsidP="0098663C">
            <w:pPr>
              <w:jc w:val="center"/>
              <w:rPr>
                <w:rFonts w:ascii="Times New Roman" w:hAnsi="Times New Roman" w:cs="Times New Roman"/>
                <w:i/>
                <w:sz w:val="20"/>
                <w:szCs w:val="20"/>
                <w:lang w:val="en-US"/>
              </w:rPr>
            </w:pPr>
            <w:proofErr w:type="spellStart"/>
            <w:r w:rsidRPr="00875A1C">
              <w:rPr>
                <w:rFonts w:ascii="Times New Roman" w:hAnsi="Times New Roman" w:cs="Times New Roman"/>
                <w:i/>
                <w:sz w:val="20"/>
                <w:szCs w:val="20"/>
                <w:lang w:val="en-US"/>
              </w:rPr>
              <w:t>ssDNA</w:t>
            </w:r>
            <w:proofErr w:type="spellEnd"/>
          </w:p>
        </w:tc>
        <w:tc>
          <w:tcPr>
            <w:tcW w:w="2835" w:type="dxa"/>
            <w:vAlign w:val="center"/>
          </w:tcPr>
          <w:p w:rsidR="002B6607" w:rsidRPr="00875A1C" w:rsidRDefault="002B6607" w:rsidP="0098663C">
            <w:pPr>
              <w:jc w:val="center"/>
              <w:rPr>
                <w:rFonts w:ascii="Times New Roman" w:hAnsi="Times New Roman" w:cs="Times New Roman"/>
                <w:sz w:val="20"/>
                <w:szCs w:val="20"/>
                <w:lang w:val="en-US"/>
              </w:rPr>
            </w:pPr>
            <w:proofErr w:type="spellStart"/>
            <w:r w:rsidRPr="00875A1C">
              <w:rPr>
                <w:rFonts w:ascii="Times New Roman" w:hAnsi="Times New Roman" w:cs="Times New Roman"/>
                <w:sz w:val="20"/>
                <w:szCs w:val="20"/>
                <w:lang w:val="en-US"/>
              </w:rPr>
              <w:t>iANDi</w:t>
            </w:r>
            <w:proofErr w:type="spellEnd"/>
          </w:p>
          <w:p w:rsidR="002B6607" w:rsidRPr="00875A1C" w:rsidRDefault="002B6607" w:rsidP="0098663C">
            <w:pPr>
              <w:jc w:val="center"/>
              <w:rPr>
                <w:rFonts w:ascii="Times New Roman" w:hAnsi="Times New Roman" w:cs="Times New Roman"/>
                <w:sz w:val="20"/>
                <w:szCs w:val="20"/>
                <w:lang w:val="en-US"/>
              </w:rPr>
            </w:pPr>
            <w:proofErr w:type="spellStart"/>
            <w:r w:rsidRPr="00875A1C">
              <w:rPr>
                <w:rFonts w:ascii="Times New Roman" w:hAnsi="Times New Roman" w:cs="Times New Roman"/>
                <w:sz w:val="20"/>
                <w:szCs w:val="20"/>
                <w:lang w:val="en-US"/>
              </w:rPr>
              <w:t>iORi</w:t>
            </w:r>
            <w:proofErr w:type="spellEnd"/>
          </w:p>
          <w:p w:rsidR="002B6607" w:rsidRPr="00875A1C" w:rsidRDefault="002B6607" w:rsidP="0098663C">
            <w:pPr>
              <w:jc w:val="center"/>
              <w:rPr>
                <w:rFonts w:ascii="Times New Roman" w:hAnsi="Times New Roman" w:cs="Times New Roman"/>
                <w:sz w:val="20"/>
                <w:szCs w:val="20"/>
                <w:lang w:val="en-US"/>
              </w:rPr>
            </w:pPr>
            <w:proofErr w:type="spellStart"/>
            <w:r w:rsidRPr="00875A1C">
              <w:rPr>
                <w:rFonts w:ascii="Times New Roman" w:hAnsi="Times New Roman" w:cs="Times New Roman"/>
                <w:sz w:val="20"/>
                <w:szCs w:val="20"/>
                <w:lang w:val="en-US"/>
              </w:rPr>
              <w:t>iAND</w:t>
            </w:r>
            <w:proofErr w:type="spellEnd"/>
            <w:r w:rsidRPr="00875A1C">
              <w:rPr>
                <w:rFonts w:ascii="Times New Roman" w:hAnsi="Times New Roman" w:cs="Times New Roman"/>
                <w:sz w:val="20"/>
                <w:szCs w:val="20"/>
                <w:lang w:val="en-US"/>
              </w:rPr>
              <w:t>/</w:t>
            </w:r>
            <w:proofErr w:type="spellStart"/>
            <w:r w:rsidRPr="00875A1C">
              <w:rPr>
                <w:rFonts w:ascii="Times New Roman" w:hAnsi="Times New Roman" w:cs="Times New Roman"/>
                <w:sz w:val="20"/>
                <w:szCs w:val="20"/>
                <w:lang w:val="en-US"/>
              </w:rPr>
              <w:t>ORi</w:t>
            </w:r>
            <w:proofErr w:type="spellEnd"/>
          </w:p>
          <w:p w:rsidR="002B6607" w:rsidRPr="00875A1C" w:rsidRDefault="002B6607" w:rsidP="0098663C">
            <w:pPr>
              <w:jc w:val="center"/>
              <w:rPr>
                <w:rFonts w:ascii="Times New Roman" w:hAnsi="Times New Roman" w:cs="Times New Roman"/>
                <w:sz w:val="20"/>
                <w:szCs w:val="20"/>
                <w:lang w:val="en-US"/>
              </w:rPr>
            </w:pPr>
            <w:proofErr w:type="spellStart"/>
            <w:r w:rsidRPr="00875A1C">
              <w:rPr>
                <w:rFonts w:ascii="Times New Roman" w:hAnsi="Times New Roman" w:cs="Times New Roman"/>
                <w:sz w:val="20"/>
                <w:szCs w:val="20"/>
                <w:lang w:val="en-US"/>
              </w:rPr>
              <w:t>iNOTi</w:t>
            </w:r>
            <w:proofErr w:type="spellEnd"/>
          </w:p>
        </w:tc>
        <w:tc>
          <w:tcPr>
            <w:tcW w:w="2693" w:type="dxa"/>
            <w:vAlign w:val="center"/>
          </w:tcPr>
          <w:p w:rsidR="002B6607" w:rsidRPr="00875A1C" w:rsidRDefault="002B6607" w:rsidP="0098663C">
            <w:pPr>
              <w:jc w:val="center"/>
              <w:rPr>
                <w:rFonts w:ascii="Times New Roman" w:hAnsi="Times New Roman" w:cs="Times New Roman"/>
                <w:sz w:val="20"/>
                <w:szCs w:val="20"/>
                <w:lang w:val="en-US"/>
              </w:rPr>
            </w:pPr>
            <w:r w:rsidRPr="00875A1C">
              <w:rPr>
                <w:rFonts w:ascii="Times New Roman" w:hAnsi="Times New Roman" w:cs="Times New Roman"/>
                <w:sz w:val="20"/>
                <w:szCs w:val="20"/>
                <w:lang w:val="en-US"/>
              </w:rPr>
              <w:t>Formation of a complex of an aptamer with a target</w:t>
            </w:r>
          </w:p>
        </w:tc>
        <w:tc>
          <w:tcPr>
            <w:tcW w:w="2127" w:type="dxa"/>
            <w:vAlign w:val="center"/>
          </w:tcPr>
          <w:p w:rsidR="002B6607" w:rsidRPr="00875A1C" w:rsidRDefault="002B6607" w:rsidP="0098663C">
            <w:pPr>
              <w:jc w:val="center"/>
              <w:rPr>
                <w:rFonts w:ascii="Times New Roman" w:hAnsi="Times New Roman" w:cs="Times New Roman"/>
                <w:sz w:val="20"/>
                <w:szCs w:val="20"/>
                <w:lang w:val="en-US"/>
              </w:rPr>
            </w:pPr>
            <w:r w:rsidRPr="00875A1C">
              <w:rPr>
                <w:rFonts w:ascii="Times New Roman" w:hAnsi="Times New Roman" w:cs="Times New Roman"/>
                <w:sz w:val="20"/>
                <w:szCs w:val="20"/>
                <w:lang w:val="en-US"/>
              </w:rPr>
              <w:t xml:space="preserve">Colorimetric signal from aggregation of </w:t>
            </w:r>
            <w:proofErr w:type="spellStart"/>
            <w:r w:rsidRPr="00875A1C">
              <w:rPr>
                <w:rFonts w:ascii="Times New Roman" w:hAnsi="Times New Roman" w:cs="Times New Roman"/>
                <w:sz w:val="20"/>
                <w:szCs w:val="20"/>
                <w:lang w:val="en-US"/>
              </w:rPr>
              <w:t>AuNP</w:t>
            </w:r>
            <w:r>
              <w:rPr>
                <w:rFonts w:ascii="Times New Roman" w:hAnsi="Times New Roman" w:cs="Times New Roman"/>
                <w:sz w:val="20"/>
                <w:szCs w:val="20"/>
                <w:lang w:val="en-US"/>
              </w:rPr>
              <w:t>s</w:t>
            </w:r>
            <w:proofErr w:type="spellEnd"/>
            <w:r w:rsidRPr="00875A1C">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180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"10.1039/c3ob40313k", "ISSN" : "14770520", "PMID" : "23479048", "abstract" : "We report a facile design method for constructing multiple-input and visible-output logic gates by combining signal-converting DNA machines and the gold nanoparticle aggregation-based foundational AND gate. \u00a9 2013 The Royal Society of Chemistry.", "author" : [ { "dropping-particle" : "", "family" : "Ogawa", "given" : "Atsushi", "non-dropping-particle" : "", "parse-names" : false, "suffix" : "" }, { "dropping-particle" : "", "family" : "Susaki", "given" : "Yukiko", "non-dropping-particle" : "", "parse-names" : false, "suffix" : "" } ], "container-title" : "Organic and Biomolecular Chemistry", "id" : "ITEM-1", "issue" : "20", "issued" : { "date-parts" : [ [ "2013" ] ] }, "page" : "3272-3276", "title" : "Multiple-input and visible-output logic gates using signal-converting DNA machines and gold nanoparticle aggregation", "type" : "article-journal", "volume" : "11" }, "uris" : [ "http://www.mendeley.com/documents/?uuid=c210000e-aae7-4b55-b02d-ec1c4a8c9e7b" ] } ], "mendeley" : { "formattedCitation" : "[7]", "plainTextFormattedCitation" : "[7]", "previouslyFormattedCitation" : "[7]"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[7]</w:t>
            </w:r>
            <w:r w:rsidRPr="00591BD9">
              <w:rPr>
                <w:rFonts w:ascii="Times New Roman" w:hAnsi="Times New Roman" w:cs="Times New Roman"/>
                <w:sz w:val="20"/>
                <w:szCs w:val="20"/>
                <w:lang w:val="en-US"/>
              </w:rPr>
              <w:fldChar w:fldCharType="end"/>
            </w:r>
          </w:p>
        </w:tc>
      </w:tr>
      <w:tr w:rsidR="002B6607" w:rsidRPr="006C39E0" w:rsidTr="0098663C">
        <w:trPr>
          <w:trHeight w:val="699"/>
        </w:trPr>
        <w:tc>
          <w:tcPr>
            <w:tcW w:w="1951" w:type="dxa"/>
            <w:vAlign w:val="center"/>
          </w:tcPr>
          <w:p w:rsidR="002B6607" w:rsidRPr="006C39E0" w:rsidRDefault="002B6607" w:rsidP="0098663C">
            <w:pPr>
              <w:jc w:val="center"/>
              <w:rPr>
                <w:rFonts w:ascii="Times New Roman" w:hAnsi="Times New Roman" w:cs="Times New Roman"/>
                <w:sz w:val="20"/>
                <w:szCs w:val="20"/>
              </w:rPr>
            </w:pPr>
            <w:r w:rsidRPr="006C39E0">
              <w:rPr>
                <w:rFonts w:ascii="Times New Roman" w:hAnsi="Times New Roman" w:cs="Times New Roman"/>
                <w:sz w:val="20"/>
                <w:szCs w:val="20"/>
                <w:lang w:val="en-US"/>
              </w:rPr>
              <w:t>Adenosine</w:t>
            </w:r>
          </w:p>
          <w:p w:rsidR="002B6607" w:rsidRPr="006C39E0" w:rsidRDefault="002B6607" w:rsidP="0098663C">
            <w:pPr>
              <w:jc w:val="center"/>
              <w:rPr>
                <w:rFonts w:ascii="Times New Roman" w:hAnsi="Times New Roman" w:cs="Times New Roman"/>
                <w:i/>
                <w:sz w:val="20"/>
                <w:szCs w:val="20"/>
              </w:rPr>
            </w:pPr>
            <w:proofErr w:type="spellStart"/>
            <w:r w:rsidRPr="006C39E0">
              <w:rPr>
                <w:rFonts w:ascii="Times New Roman" w:hAnsi="Times New Roman" w:cs="Times New Roman"/>
                <w:i/>
                <w:sz w:val="20"/>
                <w:szCs w:val="20"/>
                <w:lang w:val="en-US"/>
              </w:rPr>
              <w:t>ssDNA</w:t>
            </w:r>
            <w:proofErr w:type="spellEnd"/>
          </w:p>
        </w:tc>
        <w:tc>
          <w:tcPr>
            <w:tcW w:w="2835" w:type="dxa"/>
            <w:vAlign w:val="center"/>
          </w:tcPr>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iXORi</w:t>
            </w:r>
            <w:proofErr w:type="spellEnd"/>
          </w:p>
        </w:tc>
        <w:tc>
          <w:tcPr>
            <w:tcW w:w="2693"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Switching of an aptamer from </w:t>
            </w:r>
            <w:proofErr w:type="spellStart"/>
            <w:r w:rsidRPr="006C39E0">
              <w:rPr>
                <w:rFonts w:ascii="Times New Roman" w:hAnsi="Times New Roman" w:cs="Times New Roman"/>
                <w:sz w:val="20"/>
                <w:szCs w:val="20"/>
                <w:lang w:val="en-US"/>
              </w:rPr>
              <w:t>dsDNA</w:t>
            </w:r>
            <w:proofErr w:type="spellEnd"/>
            <w:r w:rsidRPr="006C39E0">
              <w:rPr>
                <w:rFonts w:ascii="Times New Roman" w:hAnsi="Times New Roman" w:cs="Times New Roman"/>
                <w:sz w:val="20"/>
                <w:szCs w:val="20"/>
                <w:lang w:val="en-US"/>
              </w:rPr>
              <w:t xml:space="preserve"> to a complex with a target</w:t>
            </w:r>
          </w:p>
        </w:tc>
        <w:tc>
          <w:tcPr>
            <w:tcW w:w="2127"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Fluorescence (Cy</w:t>
            </w:r>
            <w:r w:rsidRPr="006C39E0">
              <w:rPr>
                <w:rFonts w:ascii="Times New Roman" w:hAnsi="Times New Roman" w:cs="Times New Roman"/>
                <w:sz w:val="20"/>
                <w:szCs w:val="20"/>
              </w:rPr>
              <w:t>5</w:t>
            </w:r>
            <w:r w:rsidRPr="006C39E0">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Not defined</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"10.1002/slct.201600018", "ISSN" : "23656549", "abstract" : "An intelligent nucleic acid functionalized dual-responsive gold nanoflare was developed, and its exclusive-OR (XOR) logic response was demonstrated by single-nanoparticle imaging technology. Cy5 labelled adenosine aptamer and DNA molecule beacon were modified on the surface of gold nanoflares and consequence XOR logic-gate operation was successfully achieved based on adenosine aptamer binding induced fluorescence quenching and cDNA bind triggered fluorescence recovery. Their photophysical properties, concentration-dependent fluorescence variation and logic-gate response were systematically studied at the single-nanoparticle level. Single logic gate imaging demonstrated that a larger input was required to produce a change sufficient for single-nanoparticle analysis, and the logic gate can be well used for a stimulated biologic process. This work will be significant in the future fabrication of nanodevices and DNA computer at single-particle level.", "author" : [ { "dropping-particle" : "", "family" : "Liu", "given" : "Jianbo", "non-dropping-particle" : "", "parse-names" : false, "suffix" : "" }, { "dropping-particle" : "", "family" : "Ji", "given" : "Haining", "non-dropping-particle" : "", "parse-names" : false, "suffix" : "" }, { "dropping-particle" : "", "family" : "Huang", "given" : "Jin", "non-dropping-particle" : "", "parse-names" : false, "suffix" : "" }, { "dropping-particle" : "", "family" : "Li", "given" : "Li", "non-dropping-particle" : "", "parse-names" : false, "suffix" : "" }, { "dropping-particle" : "", "family" : "Wang", "given" : "Qing", "non-dropping-particle" : "", "parse-names" : false, "suffix" : "" }, { "dropping-particle" : "", "family" : "Yang", "given" : "Xiaohai", "non-dropping-particle" : "", "parse-names" : false, "suffix" : "" }, { "dropping-particle" : "", "family" : "Wang", "given" : "Kemin", "non-dropping-particle" : "", "parse-names" : false, "suffix" : "" } ], "container-title" : "ChemistrySelect", "id" : "ITEM-1", "issue" : "3", "issued" : { "date-parts" : [ [ "2016" ] ] }, "page" : "347-353", "title" : "Intelligent Nucleic Acid Functionalized Dual-Responsive Gold Nanoflare: Logic-Gate Nanodevice Visualized by Single-Nanoparticle Imaging", "type" : "article-journal", "volume" : "1" }, "uris" : [ "http://www.mendeley.com/documents/?uuid=41b2c16d-b285-42b2-b345-44879d086972" ] } ], "mendeley" : { "formattedCitation" : "[8]", "plainTextFormattedCitation" : "[8]", "previouslyFormattedCitation" : "[8]"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[8]</w:t>
            </w:r>
            <w:r w:rsidRPr="00591BD9">
              <w:rPr>
                <w:rFonts w:ascii="Times New Roman" w:hAnsi="Times New Roman" w:cs="Times New Roman"/>
                <w:sz w:val="20"/>
                <w:szCs w:val="20"/>
                <w:lang w:val="en-US"/>
              </w:rPr>
              <w:fldChar w:fldCharType="end"/>
            </w:r>
          </w:p>
        </w:tc>
      </w:tr>
      <w:tr w:rsidR="002B6607" w:rsidRPr="006C39E0" w:rsidTr="0098663C">
        <w:trPr>
          <w:trHeight w:val="699"/>
        </w:trPr>
        <w:tc>
          <w:tcPr>
            <w:tcW w:w="1951"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Adenosine</w:t>
            </w:r>
          </w:p>
          <w:p w:rsidR="002B6607" w:rsidRPr="006C39E0" w:rsidRDefault="002B6607" w:rsidP="0098663C">
            <w:pPr>
              <w:jc w:val="center"/>
              <w:rPr>
                <w:rFonts w:ascii="Times New Roman" w:hAnsi="Times New Roman" w:cs="Times New Roman"/>
                <w:sz w:val="20"/>
                <w:szCs w:val="20"/>
              </w:rPr>
            </w:pPr>
            <w:r w:rsidRPr="006C39E0">
              <w:rPr>
                <w:rFonts w:ascii="Times New Roman" w:hAnsi="Times New Roman" w:cs="Times New Roman"/>
                <w:sz w:val="20"/>
                <w:szCs w:val="20"/>
                <w:lang w:val="en-US"/>
              </w:rPr>
              <w:t>Cocaine</w:t>
            </w:r>
          </w:p>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K</w:t>
            </w:r>
            <w:r w:rsidRPr="006C39E0">
              <w:rPr>
                <w:rFonts w:ascii="Times New Roman" w:hAnsi="Times New Roman" w:cs="Times New Roman"/>
                <w:sz w:val="20"/>
                <w:szCs w:val="20"/>
                <w:vertAlign w:val="superscript"/>
                <w:lang w:val="en-US"/>
              </w:rPr>
              <w:t>+</w:t>
            </w:r>
            <w:r w:rsidRPr="006C39E0">
              <w:rPr>
                <w:rFonts w:ascii="Times New Roman" w:hAnsi="Times New Roman" w:cs="Times New Roman"/>
                <w:sz w:val="20"/>
                <w:szCs w:val="20"/>
                <w:lang w:val="en-US"/>
              </w:rPr>
              <w:t xml:space="preserve"> ions</w:t>
            </w:r>
          </w:p>
        </w:tc>
        <w:tc>
          <w:tcPr>
            <w:tcW w:w="2835" w:type="dxa"/>
            <w:vAlign w:val="center"/>
          </w:tcPr>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iANDi</w:t>
            </w:r>
            <w:proofErr w:type="spellEnd"/>
          </w:p>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iORi</w:t>
            </w:r>
            <w:proofErr w:type="spellEnd"/>
          </w:p>
        </w:tc>
        <w:tc>
          <w:tcPr>
            <w:tcW w:w="2693" w:type="dxa"/>
            <w:vAlign w:val="center"/>
          </w:tcPr>
          <w:p w:rsidR="002B6607" w:rsidRPr="006C39E0"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The use of </w:t>
            </w:r>
            <w:proofErr w:type="spellStart"/>
            <w:r w:rsidRPr="006C39E0">
              <w:rPr>
                <w:rFonts w:ascii="Times New Roman" w:hAnsi="Times New Roman" w:cs="Times New Roman"/>
                <w:sz w:val="20"/>
                <w:szCs w:val="20"/>
                <w:lang w:val="en-US"/>
              </w:rPr>
              <w:t>bifunctional</w:t>
            </w:r>
            <w:proofErr w:type="spellEnd"/>
            <w:r w:rsidRPr="006C39E0">
              <w:rPr>
                <w:rFonts w:ascii="Times New Roman" w:hAnsi="Times New Roman" w:cs="Times New Roman"/>
                <w:sz w:val="20"/>
                <w:szCs w:val="20"/>
                <w:lang w:val="en-US"/>
              </w:rPr>
              <w:t xml:space="preserve"> aptamer</w:t>
            </w:r>
            <w:r>
              <w:rPr>
                <w:rFonts w:ascii="Times New Roman" w:hAnsi="Times New Roman" w:cs="Times New Roman"/>
                <w:sz w:val="20"/>
                <w:szCs w:val="20"/>
                <w:lang w:val="en-US"/>
              </w:rPr>
              <w:t>, s</w:t>
            </w:r>
            <w:r w:rsidRPr="006C39E0">
              <w:rPr>
                <w:rFonts w:ascii="Times New Roman" w:hAnsi="Times New Roman" w:cs="Times New Roman"/>
                <w:sz w:val="20"/>
                <w:szCs w:val="20"/>
                <w:lang w:val="en-US"/>
              </w:rPr>
              <w:t xml:space="preserve">witching of an aptamer from </w:t>
            </w:r>
            <w:proofErr w:type="spellStart"/>
            <w:r w:rsidRPr="006C39E0">
              <w:rPr>
                <w:rFonts w:ascii="Times New Roman" w:hAnsi="Times New Roman" w:cs="Times New Roman"/>
                <w:sz w:val="20"/>
                <w:szCs w:val="20"/>
                <w:lang w:val="en-US"/>
              </w:rPr>
              <w:t>dsDNA</w:t>
            </w:r>
            <w:proofErr w:type="spellEnd"/>
            <w:r w:rsidRPr="006C39E0">
              <w:rPr>
                <w:rFonts w:ascii="Times New Roman" w:hAnsi="Times New Roman" w:cs="Times New Roman"/>
                <w:sz w:val="20"/>
                <w:szCs w:val="20"/>
                <w:lang w:val="en-US"/>
              </w:rPr>
              <w:t xml:space="preserve"> to a complex with a target</w:t>
            </w:r>
          </w:p>
        </w:tc>
        <w:tc>
          <w:tcPr>
            <w:tcW w:w="2127"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Colorimetric signal from </w:t>
            </w:r>
            <w:proofErr w:type="spellStart"/>
            <w:r w:rsidRPr="006C39E0">
              <w:rPr>
                <w:rFonts w:ascii="Times New Roman" w:hAnsi="Times New Roman" w:cs="Times New Roman"/>
                <w:sz w:val="20"/>
                <w:szCs w:val="20"/>
                <w:lang w:val="en-US"/>
              </w:rPr>
              <w:t>deaggregation</w:t>
            </w:r>
            <w:proofErr w:type="spellEnd"/>
            <w:r w:rsidRPr="006C39E0">
              <w:rPr>
                <w:rFonts w:ascii="Times New Roman" w:hAnsi="Times New Roman" w:cs="Times New Roman"/>
                <w:sz w:val="20"/>
                <w:szCs w:val="20"/>
                <w:lang w:val="en-US"/>
              </w:rPr>
              <w:t xml:space="preserve"> of </w:t>
            </w:r>
            <w:proofErr w:type="spellStart"/>
            <w:r w:rsidRPr="006C39E0">
              <w:rPr>
                <w:rFonts w:ascii="Times New Roman" w:hAnsi="Times New Roman" w:cs="Times New Roman"/>
                <w:sz w:val="20"/>
                <w:szCs w:val="20"/>
                <w:lang w:val="en-US"/>
              </w:rPr>
              <w:t>AuNP</w:t>
            </w:r>
            <w:r>
              <w:rPr>
                <w:rFonts w:ascii="Times New Roman" w:hAnsi="Times New Roman" w:cs="Times New Roman"/>
                <w:sz w:val="20"/>
                <w:szCs w:val="20"/>
                <w:lang w:val="en-US"/>
              </w:rPr>
              <w:t>s</w:t>
            </w:r>
            <w:proofErr w:type="spellEnd"/>
            <w:r>
              <w:rPr>
                <w:rFonts w:ascii="Times New Roman" w:hAnsi="Times New Roman" w:cs="Times New Roman"/>
                <w:sz w:val="20"/>
                <w:szCs w:val="20"/>
                <w:lang w:val="en-US"/>
              </w:rPr>
              <w:t xml:space="preserve"> </w:t>
            </w:r>
            <w:r w:rsidRPr="006C39E0">
              <w:rPr>
                <w:rFonts w:ascii="Times New Roman" w:hAnsi="Times New Roman" w:cs="Times New Roman"/>
                <w:sz w:val="20"/>
                <w:szCs w:val="20"/>
                <w:lang w:val="en-US"/>
              </w:rPr>
              <w:t>(SPR)</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5</w:t>
            </w:r>
          </w:p>
        </w:tc>
        <w:tc>
          <w:tcPr>
            <w:tcW w:w="1559" w:type="dxa"/>
            <w:vAlign w:val="center"/>
          </w:tcPr>
          <w:p w:rsidR="002B6607" w:rsidRPr="00591BD9" w:rsidRDefault="002B6607" w:rsidP="0098663C">
            <w:pPr>
              <w:jc w:val="center"/>
              <w:rPr>
                <w:rFonts w:ascii="Arial" w:hAnsi="Arial" w:cs="Arial"/>
                <w:color w:val="000000"/>
                <w:sz w:val="20"/>
                <w:szCs w:val="20"/>
                <w:shd w:val="clear" w:color="auto" w:fill="FFFFFF"/>
              </w:rPr>
            </w:pPr>
            <w:r w:rsidRPr="00591BD9">
              <w:rPr>
                <w:rFonts w:ascii="Times New Roman" w:hAnsi="Times New Roman" w:cs="Times New Roman"/>
                <w:sz w:val="20"/>
                <w:szCs w:val="20"/>
              </w:rPr>
              <w:fldChar w:fldCharType="begin" w:fldLock="1"/>
            </w:r>
            <w:r w:rsidRPr="00591BD9">
              <w:rPr>
                <w:rFonts w:ascii="Times New Roman" w:hAnsi="Times New Roman" w:cs="Times New Roman"/>
                <w:sz w:val="20"/>
                <w:szCs w:val="20"/>
              </w:rPr>
              <w:instrText>ADDIN CSL_CITATION { "citationItems" : [ { "id" : "ITEM-1", "itemData" : { "DOI" : "10.1002/adma.200600525", "ISSN" : "09359648", "author" : [ { "dropping-particle" : "", "family" : "Liu", "given" : "Juewen", "non-dropping-particle" : "", "parse-names" : false, "suffix" : "" }, { "dropping-particle" : "", "family" : "Lu", "given" : "Yi", "non-dropping-particle" : "", "parse-names" : false, "suffix" : "" } ], "container-title" : "Advanced Materials", "id" : "ITEM-1", "issue" : "13", "issued" : { "date-parts" : [ [ "2006" ] ] }, "page" : "1667-1671", "title" : "Smart nanomaterials responsive to multiple chemical stimuli with controllable cooperativity", "type" : "article-journal", "volume" : "18" }, "uris" : [ "http://www.mendeley.com/documents/?uuid=6d42dac3-e7c3-4158-949d-3ebb58c180f2" ] } ], "mendeley" : { "formattedCitation" : "[9]", "plainTextFormattedCitation" : "[9]", "previouslyFormattedCitation" : "[9]" }, "properties" : { "noteIndex" : 0 }, "schema" : "https://github.com/citation-style-language/schema/raw/master/csl-citation.json" }</w:instrText>
            </w:r>
            <w:r w:rsidRPr="00591BD9">
              <w:rPr>
                <w:rFonts w:ascii="Times New Roman" w:hAnsi="Times New Roman" w:cs="Times New Roman"/>
                <w:sz w:val="20"/>
                <w:szCs w:val="20"/>
              </w:rPr>
              <w:fldChar w:fldCharType="separate"/>
            </w:r>
            <w:r w:rsidRPr="00591BD9">
              <w:rPr>
                <w:rFonts w:ascii="Times New Roman" w:hAnsi="Times New Roman" w:cs="Times New Roman"/>
                <w:noProof/>
                <w:sz w:val="20"/>
                <w:szCs w:val="20"/>
              </w:rPr>
              <w:t>[9]</w:t>
            </w:r>
            <w:r w:rsidRPr="00591BD9">
              <w:rPr>
                <w:rFonts w:ascii="Times New Roman" w:hAnsi="Times New Roman" w:cs="Times New Roman"/>
                <w:sz w:val="20"/>
                <w:szCs w:val="20"/>
              </w:rPr>
              <w:fldChar w:fldCharType="end"/>
            </w:r>
          </w:p>
        </w:tc>
      </w:tr>
      <w:tr w:rsidR="002B6607" w:rsidRPr="006C39E0" w:rsidTr="0098663C">
        <w:tc>
          <w:tcPr>
            <w:tcW w:w="1951" w:type="dxa"/>
            <w:vAlign w:val="center"/>
          </w:tcPr>
          <w:p w:rsidR="002B6607" w:rsidRPr="006C39E0" w:rsidRDefault="002B6607" w:rsidP="0098663C">
            <w:pPr>
              <w:jc w:val="center"/>
              <w:rPr>
                <w:rFonts w:ascii="Times New Roman" w:hAnsi="Times New Roman" w:cs="Times New Roman"/>
                <w:sz w:val="20"/>
                <w:szCs w:val="20"/>
              </w:rPr>
            </w:pPr>
            <w:r w:rsidRPr="006C39E0">
              <w:rPr>
                <w:rFonts w:ascii="Times New Roman" w:hAnsi="Times New Roman" w:cs="Times New Roman"/>
                <w:sz w:val="20"/>
                <w:szCs w:val="20"/>
                <w:lang w:val="en-US"/>
              </w:rPr>
              <w:t>VEGF</w:t>
            </w:r>
          </w:p>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PDGF</w:t>
            </w:r>
          </w:p>
        </w:tc>
        <w:tc>
          <w:tcPr>
            <w:tcW w:w="2835" w:type="dxa"/>
            <w:vAlign w:val="center"/>
          </w:tcPr>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iANDi</w:t>
            </w:r>
            <w:proofErr w:type="spellEnd"/>
          </w:p>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iORi</w:t>
            </w:r>
            <w:proofErr w:type="spellEnd"/>
          </w:p>
        </w:tc>
        <w:tc>
          <w:tcPr>
            <w:tcW w:w="2693"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Switching of an aptamer from </w:t>
            </w:r>
            <w:proofErr w:type="spellStart"/>
            <w:r w:rsidRPr="006C39E0">
              <w:rPr>
                <w:rFonts w:ascii="Times New Roman" w:hAnsi="Times New Roman" w:cs="Times New Roman"/>
                <w:sz w:val="20"/>
                <w:szCs w:val="20"/>
                <w:lang w:val="en-US"/>
              </w:rPr>
              <w:t>dsDNA</w:t>
            </w:r>
            <w:proofErr w:type="spellEnd"/>
            <w:r w:rsidRPr="006C39E0">
              <w:rPr>
                <w:rFonts w:ascii="Times New Roman" w:hAnsi="Times New Roman" w:cs="Times New Roman"/>
                <w:sz w:val="20"/>
                <w:szCs w:val="20"/>
                <w:lang w:val="en-US"/>
              </w:rPr>
              <w:t xml:space="preserve"> to a complex with a target</w:t>
            </w:r>
          </w:p>
        </w:tc>
        <w:tc>
          <w:tcPr>
            <w:tcW w:w="2127"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OR: fluorescence ( TAMRA, FITC)</w:t>
            </w:r>
          </w:p>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AND: colorimetric signal from aggregation of </w:t>
            </w:r>
            <w:proofErr w:type="spellStart"/>
            <w:r w:rsidRPr="006C39E0">
              <w:rPr>
                <w:rFonts w:ascii="Times New Roman" w:hAnsi="Times New Roman" w:cs="Times New Roman"/>
                <w:sz w:val="20"/>
                <w:szCs w:val="20"/>
                <w:lang w:val="en-US"/>
              </w:rPr>
              <w:t>AuNP</w:t>
            </w:r>
            <w:r>
              <w:rPr>
                <w:rFonts w:ascii="Times New Roman" w:hAnsi="Times New Roman" w:cs="Times New Roman"/>
                <w:sz w:val="20"/>
                <w:szCs w:val="20"/>
                <w:lang w:val="en-US"/>
              </w:rPr>
              <w:t>s</w:t>
            </w:r>
            <w:proofErr w:type="spellEnd"/>
            <w:r w:rsidRPr="006C39E0">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120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shd w:val="clear" w:color="auto" w:fill="FFFFFF"/>
                <w:lang w:val="en-US"/>
              </w:rPr>
              <w:fldChar w:fldCharType="begin" w:fldLock="1"/>
            </w:r>
            <w:r w:rsidRPr="00591BD9">
              <w:rPr>
                <w:rFonts w:ascii="Times New Roman" w:hAnsi="Times New Roman" w:cs="Times New Roman"/>
                <w:sz w:val="20"/>
                <w:szCs w:val="20"/>
                <w:shd w:val="clear" w:color="auto" w:fill="FFFFFF"/>
                <w:lang w:val="en-US"/>
              </w:rPr>
              <w:instrText>ADDIN CSL_CITATION { "citationItems" : [ { "id" : "ITEM-1", "itemData" : { "DOI" : "10.1021/am300374q", "ISSN" : "19448244", "abstract" : "In this work, gold nanoparticles perform Boolean logic operations in response to two proangiogenic targets important in cancer diagnosis and treatment: PDGF and VEGF. In the absence of protein target, gold nanoparticles are initially dispersed as a red solution; the addition of target proteins causes nanoparticle aggregation, turning the solution blue, as well as the release of dye-labeled aptamer probes, which causes an increase in fluorescence. These outputs constitute an AND or OR gate for simultaneous protein detection. We believe this logic-gate-based detection system will become the basis for novel rapid, cheap, and reliable sensors for diagnostic applications. \u00a9 2012 American Chemical Society.", "author" : [ { "dropping-particle" : "", "family" : "Shukoor", "given" : "Mohammed I.", "non-dropping-particle" : "", "parse-names" : false, "suffix" : "" }, { "dropping-particle" : "", "family" : "Altman", "given" : "Meghan O.", "non-dropping-particle" : "", "parse-names" : false, "suffix" : "" }, { "dropping-particle" : "", "family" : "Han", "given" : "Da", "non-dropping-particle" : "", "parse-names" : false, "suffix" : "" }, { "dropping-particle" : "", "family" : "Bayrac", "given" : "Abdullah Tahir", "non-dropping-particle" : "", "parse-names" : false, "suffix" : "" }, { "dropping-particle" : "", "family" : "Ocsoy", "given" : "Ismail", "non-dropping-particle" : "", "parse-names" : false, "suffix" : "" }, { "dropping-particle" : "", "family" : "Zhu", "given" : "Zhi", "non-dropping-particle" : "", "parse-names" : false, "suffix" : "" }, { "dropping-particle" : "", "family" : "Tan", "given" : "Weihong", "non-dropping-particle" : "", "parse-names" : false, "suffix" : "" } ], "container-title" : "ACS Applied Materials and Interfaces", "id" : "ITEM-1", "issue" : "6", "issued" : { "date-parts" : [ [ "2012" ] ] }, "page" : "3007-3011", "title" : "Aptamer-nanoparticle assembly for logic-based detection", "type" : "article-journal", "volume" : "4" }, "uris" : [ "http://www.mendeley.com/documents/?uuid=cb59d478-9365-45f1-9de7-4f4608ef084c" ] } ], "mendeley" : { "formattedCitation" : "[10]", "plainTextFormattedCitation" : "[10]", "previouslyFormattedCitation" : "[10]" }, "properties" : { "noteIndex" : 0 }, "schema" : "https://github.com/citation-style-language/schema/raw/master/csl-citation.json" }</w:instrText>
            </w:r>
            <w:r w:rsidRPr="00591BD9">
              <w:rPr>
                <w:rFonts w:ascii="Times New Roman" w:hAnsi="Times New Roman" w:cs="Times New Roman"/>
                <w:sz w:val="20"/>
                <w:szCs w:val="20"/>
                <w:shd w:val="clear" w:color="auto" w:fill="FFFFFF"/>
                <w:lang w:val="en-US"/>
              </w:rPr>
              <w:fldChar w:fldCharType="separate"/>
            </w:r>
            <w:r w:rsidRPr="00591BD9">
              <w:rPr>
                <w:rFonts w:ascii="Times New Roman" w:hAnsi="Times New Roman" w:cs="Times New Roman"/>
                <w:noProof/>
                <w:sz w:val="20"/>
                <w:szCs w:val="20"/>
                <w:shd w:val="clear" w:color="auto" w:fill="FFFFFF"/>
                <w:lang w:val="en-US"/>
              </w:rPr>
              <w:t>[10]</w:t>
            </w:r>
            <w:r w:rsidRPr="00591BD9">
              <w:rPr>
                <w:rFonts w:ascii="Times New Roman" w:hAnsi="Times New Roman" w:cs="Times New Roman"/>
                <w:sz w:val="20"/>
                <w:szCs w:val="20"/>
                <w:shd w:val="clear" w:color="auto" w:fill="FFFFFF"/>
                <w:lang w:val="en-US"/>
              </w:rPr>
              <w:fldChar w:fldCharType="end"/>
            </w:r>
          </w:p>
        </w:tc>
      </w:tr>
      <w:tr w:rsidR="002B6607" w:rsidRPr="007F3EFC" w:rsidTr="0098663C">
        <w:tc>
          <w:tcPr>
            <w:tcW w:w="1951"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ATP</w:t>
            </w:r>
          </w:p>
          <w:p w:rsidR="002B6607" w:rsidRPr="006C39E0" w:rsidRDefault="002B6607" w:rsidP="0098663C">
            <w:pPr>
              <w:jc w:val="center"/>
              <w:rPr>
                <w:rFonts w:ascii="Times New Roman" w:hAnsi="Times New Roman" w:cs="Times New Roman"/>
                <w:i/>
                <w:sz w:val="20"/>
                <w:szCs w:val="20"/>
                <w:lang w:val="en-US"/>
              </w:rPr>
            </w:pPr>
            <w:proofErr w:type="spellStart"/>
            <w:r w:rsidRPr="006C39E0">
              <w:rPr>
                <w:rFonts w:ascii="Times New Roman" w:hAnsi="Times New Roman" w:cs="Times New Roman"/>
                <w:i/>
                <w:sz w:val="20"/>
                <w:szCs w:val="20"/>
                <w:lang w:val="en-US"/>
              </w:rPr>
              <w:t>ssDNA</w:t>
            </w:r>
            <w:proofErr w:type="spellEnd"/>
          </w:p>
        </w:tc>
        <w:tc>
          <w:tcPr>
            <w:tcW w:w="2835" w:type="dxa"/>
            <w:vAlign w:val="center"/>
          </w:tcPr>
          <w:p w:rsidR="002B6607" w:rsidRPr="006C39E0" w:rsidRDefault="002B6607" w:rsidP="0098663C">
            <w:pPr>
              <w:jc w:val="center"/>
              <w:rPr>
                <w:rFonts w:ascii="Times New Roman" w:hAnsi="Times New Roman" w:cs="Times New Roman"/>
                <w:sz w:val="20"/>
                <w:szCs w:val="20"/>
                <w:lang w:val="en-US"/>
              </w:rPr>
            </w:pPr>
            <w:proofErr w:type="spellStart"/>
            <w:r w:rsidRPr="006C39E0">
              <w:rPr>
                <w:rFonts w:ascii="Times New Roman" w:hAnsi="Times New Roman" w:cs="Times New Roman"/>
                <w:sz w:val="20"/>
                <w:szCs w:val="20"/>
                <w:lang w:val="en-US"/>
              </w:rPr>
              <w:t>iANDiANDi</w:t>
            </w:r>
            <w:proofErr w:type="spellEnd"/>
          </w:p>
        </w:tc>
        <w:tc>
          <w:tcPr>
            <w:tcW w:w="2693"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Switching of an aptamer from </w:t>
            </w:r>
            <w:proofErr w:type="spellStart"/>
            <w:r w:rsidRPr="006C39E0">
              <w:rPr>
                <w:rFonts w:ascii="Times New Roman" w:hAnsi="Times New Roman" w:cs="Times New Roman"/>
                <w:sz w:val="20"/>
                <w:szCs w:val="20"/>
                <w:lang w:val="en-US"/>
              </w:rPr>
              <w:t>dsDNA</w:t>
            </w:r>
            <w:proofErr w:type="spellEnd"/>
            <w:r w:rsidRPr="006C39E0">
              <w:rPr>
                <w:rFonts w:ascii="Times New Roman" w:hAnsi="Times New Roman" w:cs="Times New Roman"/>
                <w:sz w:val="20"/>
                <w:szCs w:val="20"/>
                <w:lang w:val="en-US"/>
              </w:rPr>
              <w:t xml:space="preserve"> to a complex with a target</w:t>
            </w:r>
          </w:p>
        </w:tc>
        <w:tc>
          <w:tcPr>
            <w:tcW w:w="2127"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Fluorescence (FAM)</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17</w:t>
            </w:r>
          </w:p>
        </w:tc>
        <w:tc>
          <w:tcPr>
            <w:tcW w:w="1559" w:type="dxa"/>
            <w:vAlign w:val="center"/>
          </w:tcPr>
          <w:p w:rsidR="002B6607" w:rsidRPr="00591BD9" w:rsidRDefault="002B6607" w:rsidP="0098663C">
            <w:pPr>
              <w:jc w:val="center"/>
              <w:rPr>
                <w:rFonts w:ascii="Times New Roman" w:hAnsi="Times New Roman" w:cs="Times New Roman"/>
                <w:sz w:val="20"/>
                <w:szCs w:val="20"/>
                <w:shd w:val="clear" w:color="auto" w:fill="FFFFFF"/>
                <w:lang w:val="en-US"/>
              </w:rPr>
            </w:pPr>
            <w:r w:rsidRPr="00591BD9">
              <w:rPr>
                <w:rFonts w:ascii="Times New Roman" w:hAnsi="Times New Roman" w:cs="Times New Roman"/>
                <w:sz w:val="20"/>
                <w:szCs w:val="20"/>
                <w:shd w:val="clear" w:color="auto" w:fill="FFFFFF"/>
                <w:lang w:val="en-US"/>
              </w:rPr>
              <w:fldChar w:fldCharType="begin" w:fldLock="1"/>
            </w:r>
            <w:r w:rsidRPr="00591BD9">
              <w:rPr>
                <w:rFonts w:ascii="Times New Roman" w:hAnsi="Times New Roman" w:cs="Times New Roman"/>
                <w:sz w:val="20"/>
                <w:szCs w:val="20"/>
                <w:shd w:val="clear" w:color="auto" w:fill="FFFFFF"/>
                <w:lang w:val="en-US"/>
              </w:rPr>
              <w:instrText>ADDIN CSL_CITATION { "citationItems" : [ { "id" : "ITEM-1", "itemData" : { "DOI" : "10.1039/c4nr01676a", "ISSN" : "20403372", "PMID" : "24969570", "abstract" : "DNA strand displacement cascades have been engineered to construct various fascinating DNA circuits. However, biological applications are limited by the insufficient cellular internalization of naked DNA structures, as well as the separated multicomponent feature. In this work, these problems are addressed by the development of a novel DNA nanodevice, termed intelligent layered nanoflare, which integrates DNA computing at the nanoscale, via the self-assembly of DNA flares on a single gold nanoparticle. As a \"lab-on-a-nanoparticle\", the intelligent layered nanoflare could be engineered to perform a variety of Boolean logic gate operations, including three basic logic gates, one three-input AND gate, and two complex logic operations, in a digital non-leaky way. In addition, the layered nanoflare can serve as a programmable strategy to sequentially tune the size of nanoparticles, as well as a new fingerprint spectrum technique for intelligent multiplex biosensing. More importantly, the nanoflare developed here can also act as a single entity for intracellular DNA logic gate delivery, without the need of commercial transfection agents or other auxiliary carriers. By incorporating DNA circuits on nanoparticles, the presented layered nanoflare will broaden the applications of DNA circuits in biological systems, and facilitate the development of DNA nanotechnology. This journal is \u00a9 the Partner Organisations 2014.", "author" : [ { "dropping-particle" : "", "family" : "Yang", "given" : "Bin", "non-dropping-particle" : "", "parse-names" : false, "suffix" : "" }, { "dropping-particle" : "", "family" : "Zhang", "given" : "Xiao Bing", "non-dropping-particle" : "", "parse-names" : false, "suffix" : "" }, { "dropping-particle" : "", "family" : "Kang", "given" : "Li Ping", "non-dropping-particle" : "", "parse-names" : false, "suffix" : "" }, { "dropping-particle" : "", "family" : "Huang", "given" : "Zhi Mei", "non-dropping-particle" : "", "parse-names" : false, "suffix" : "" }, { "dropping-particle" : "", "family" : "Shen", "given" : "Guo Li", "non-dropping-particle" : "", "parse-names" : false, "suffix" : "" }, { "dropping-particle" : "", "family" : "Yu", "given" : "Ru Qin", "non-dropping-particle" : "", "parse-names" : false, "suffix" : "" }, { "dropping-particle" : "", "family" : "Tan", "given" : "Weihong", "non-dropping-particle" : "", "parse-names" : false, "suffix" : "" } ], "container-title" : "Nanoscale", "id" : "ITEM-1", "issue" : "15", "issued" : { "date-parts" : [ [ "2014" ] ] }, "page" : "8990-8996", "title" : "Intelligent layered nanoflare: \"Lab-on-a-nanoparticle\" for multiple DNA logic gate operations and efficient intracellular delivery", "type" : "article-journal", "volume" : "6" }, "uris" : [ "http://www.mendeley.com/documents/?uuid=28d9dc48-1d43-425e-8d23-a42d91ba55bc" ] } ], "mendeley" : { "formattedCitation" : "[11]", "plainTextFormattedCitation" : "[11]", "previouslyFormattedCitation" : "[11]" }, "properties" : { "noteIndex" : 0 }, "schema" : "https://github.com/citation-style-language/schema/raw/master/csl-citation.json" }</w:instrText>
            </w:r>
            <w:r w:rsidRPr="00591BD9">
              <w:rPr>
                <w:rFonts w:ascii="Times New Roman" w:hAnsi="Times New Roman" w:cs="Times New Roman"/>
                <w:sz w:val="20"/>
                <w:szCs w:val="20"/>
                <w:shd w:val="clear" w:color="auto" w:fill="FFFFFF"/>
                <w:lang w:val="en-US"/>
              </w:rPr>
              <w:fldChar w:fldCharType="separate"/>
            </w:r>
            <w:r w:rsidRPr="00591BD9">
              <w:rPr>
                <w:rFonts w:ascii="Times New Roman" w:hAnsi="Times New Roman" w:cs="Times New Roman"/>
                <w:noProof/>
                <w:sz w:val="20"/>
                <w:szCs w:val="20"/>
                <w:shd w:val="clear" w:color="auto" w:fill="FFFFFF"/>
                <w:lang w:val="en-US"/>
              </w:rPr>
              <w:t>[11]</w:t>
            </w:r>
            <w:r w:rsidRPr="00591BD9">
              <w:rPr>
                <w:rFonts w:ascii="Times New Roman" w:hAnsi="Times New Roman" w:cs="Times New Roman"/>
                <w:sz w:val="20"/>
                <w:szCs w:val="20"/>
                <w:shd w:val="clear" w:color="auto" w:fill="FFFFFF"/>
                <w:lang w:val="en-US"/>
              </w:rPr>
              <w:fldChar w:fldCharType="end"/>
            </w:r>
          </w:p>
        </w:tc>
      </w:tr>
      <w:tr w:rsidR="002B6607" w:rsidRPr="006C39E0" w:rsidTr="0098663C">
        <w:trPr>
          <w:trHeight w:val="605"/>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Lateral flow strip biosensors</w:t>
            </w:r>
          </w:p>
        </w:tc>
      </w:tr>
      <w:tr w:rsidR="002B6607" w:rsidRPr="00081196" w:rsidTr="0098663C">
        <w:tc>
          <w:tcPr>
            <w:tcW w:w="1951"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ATP</w:t>
            </w:r>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Thrombine</w:t>
            </w:r>
            <w:proofErr w:type="spellEnd"/>
          </w:p>
        </w:tc>
        <w:tc>
          <w:tcPr>
            <w:tcW w:w="2835" w:type="dxa"/>
            <w:vAlign w:val="center"/>
          </w:tcPr>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iORi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w:t>
            </w:r>
            <w:proofErr w:type="spellEnd"/>
          </w:p>
        </w:tc>
        <w:tc>
          <w:tcPr>
            <w:tcW w:w="2693" w:type="dxa"/>
            <w:vAlign w:val="center"/>
          </w:tcPr>
          <w:p w:rsidR="002B6607" w:rsidRPr="00081196"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T</w:t>
            </w:r>
            <w:r w:rsidRPr="00081196">
              <w:rPr>
                <w:rFonts w:ascii="Times New Roman" w:hAnsi="Times New Roman" w:cs="Times New Roman"/>
                <w:sz w:val="20"/>
                <w:szCs w:val="20"/>
                <w:lang w:val="en-US"/>
              </w:rPr>
              <w:t>he use of a hybrid DNA based on cleaved and combined parts of aptamers; the use of split aptamers into two parts</w:t>
            </w:r>
          </w:p>
        </w:tc>
        <w:tc>
          <w:tcPr>
            <w:tcW w:w="2127"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 xml:space="preserve">Colorimetric signal from retaining of </w:t>
            </w:r>
            <w:proofErr w:type="spellStart"/>
            <w:r w:rsidRPr="00081196">
              <w:rPr>
                <w:rFonts w:ascii="Times New Roman" w:hAnsi="Times New Roman" w:cs="Times New Roman"/>
                <w:sz w:val="20"/>
                <w:szCs w:val="20"/>
                <w:lang w:val="en-US"/>
              </w:rPr>
              <w:t>AuNPs</w:t>
            </w:r>
            <w:proofErr w:type="spellEnd"/>
            <w:r w:rsidRPr="00081196">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45</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"10.1021/ac301508b", "ISSN" : "00032700", "PMID" : "22780691", "abstract" : "The first example of strip logic gates (\"OR\" and \"AND\" functions) for proteins and small molecules has been constructed on the basis of target-induced self-assembly of split aptamer fragments. Using thrombin and ATP as inputs, the corresponding split/integrated aptamers as molecular recognition elements, and gold nanoparticles as a tracer, the output signals can be directly visualized by observing the red bands on the test zones of the strips. The assay is simple, easy to perform, and cost-effective, allowing portable analysis at ambient temperature. The strip logic system is resistant to nonspecific interfering agents and can operate effectively even in human serum samples. Such logic strips hold great promise for application in intelligent point-of-care and in-field diagnostics. \u00a9 2012 American Chemical Society.", "author" : [ { "dropping-particle" : "", "family" : "Chen", "given" : "Junhua", "non-dropping-particle" : "", "parse-names" : false, "suffix" : "" }, { "dropping-particle" : "", "family" : "Fang", "given" : "Zhiyuan", "non-dropping-particle" : "", "parse-names" : false, "suffix" : "" }, { "dropping-particle" : "", "family" : "Lie", "given" : "Puchang", "non-dropping-particle" : "", "parse-names" : false, "suffix" : "" }, { "dropping-particle" : "", "family" : "Zeng", "given" : "Lingwen", "non-dropping-particle" : "", "parse-names" : false, "suffix" : "" } ], "container-title" : "Analytical Chemistry", "id" : "ITEM-1", "issue" : "15", "issued" : { "date-parts" : [ [ "2012" ] ] }, "page" : "6321-6325", "title" : "Computational lateral flow biosensor for proteins and small molecules: A new class of strip logic gates", "type" : "article-journal", "volume" : "84" }, "uris" : [ "http://www.mendeley.com/documents/?uuid=f9fc6b95-d6c3-4570-b552-987084ad4a66" ] } ], "mendeley" : { "formattedCitation" : "[12]", "plainTextFormattedCitation" : "[12]", "previouslyFormattedCitation" : "[12]"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[12]</w:t>
            </w:r>
            <w:r w:rsidRPr="00591BD9">
              <w:rPr>
                <w:rFonts w:ascii="Times New Roman" w:hAnsi="Times New Roman" w:cs="Times New Roman"/>
                <w:sz w:val="20"/>
                <w:szCs w:val="20"/>
                <w:lang w:val="en-US"/>
              </w:rPr>
              <w:fldChar w:fldCharType="end"/>
            </w:r>
          </w:p>
        </w:tc>
      </w:tr>
      <w:tr w:rsidR="002B6607" w:rsidRPr="00081196" w:rsidTr="0098663C">
        <w:tc>
          <w:tcPr>
            <w:tcW w:w="1951" w:type="dxa"/>
            <w:vAlign w:val="center"/>
          </w:tcPr>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Carcinoembryonic</w:t>
            </w:r>
            <w:proofErr w:type="spellEnd"/>
            <w:r w:rsidRPr="00081196">
              <w:rPr>
                <w:rFonts w:ascii="Times New Roman" w:hAnsi="Times New Roman" w:cs="Times New Roman"/>
                <w:sz w:val="20"/>
                <w:szCs w:val="20"/>
                <w:lang w:val="en-US"/>
              </w:rPr>
              <w:t xml:space="preserve"> antigen (CEA)</w:t>
            </w:r>
          </w:p>
          <w:p w:rsidR="002B6607" w:rsidRPr="00081196" w:rsidRDefault="002B6607" w:rsidP="0098663C">
            <w:pPr>
              <w:jc w:val="center"/>
              <w:rPr>
                <w:rFonts w:ascii="Times New Roman" w:hAnsi="Times New Roman" w:cs="Times New Roman"/>
                <w:i/>
                <w:sz w:val="20"/>
                <w:szCs w:val="20"/>
                <w:lang w:val="en-US"/>
              </w:rPr>
            </w:pPr>
            <w:r w:rsidRPr="00081196">
              <w:rPr>
                <w:rFonts w:ascii="Times New Roman" w:hAnsi="Times New Roman" w:cs="Times New Roman"/>
                <w:i/>
                <w:sz w:val="20"/>
                <w:szCs w:val="20"/>
                <w:lang w:val="en-US"/>
              </w:rPr>
              <w:t>Aptamer against CEA</w:t>
            </w:r>
          </w:p>
          <w:p w:rsidR="002B6607" w:rsidRPr="00081196" w:rsidRDefault="002B6607" w:rsidP="0098663C">
            <w:pPr>
              <w:jc w:val="center"/>
              <w:rPr>
                <w:rFonts w:ascii="Times New Roman" w:hAnsi="Times New Roman" w:cs="Times New Roman"/>
                <w:i/>
                <w:sz w:val="20"/>
                <w:szCs w:val="20"/>
                <w:lang w:val="en-US"/>
              </w:rPr>
            </w:pPr>
            <w:proofErr w:type="spellStart"/>
            <w:r w:rsidRPr="00081196">
              <w:rPr>
                <w:rFonts w:ascii="Times New Roman" w:hAnsi="Times New Roman" w:cs="Times New Roman"/>
                <w:i/>
                <w:sz w:val="20"/>
                <w:szCs w:val="20"/>
                <w:lang w:val="en-US"/>
              </w:rPr>
              <w:t>ssDNA</w:t>
            </w:r>
            <w:proofErr w:type="spellEnd"/>
          </w:p>
        </w:tc>
        <w:tc>
          <w:tcPr>
            <w:tcW w:w="2835" w:type="dxa"/>
            <w:vAlign w:val="center"/>
          </w:tcPr>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iORi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iINHIBITi</w:t>
            </w:r>
            <w:proofErr w:type="spellEnd"/>
          </w:p>
        </w:tc>
        <w:tc>
          <w:tcPr>
            <w:tcW w:w="2693"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Switching of an aptamer from hairpin DNA to a complex with a target</w:t>
            </w:r>
          </w:p>
        </w:tc>
        <w:tc>
          <w:tcPr>
            <w:tcW w:w="2127"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 xml:space="preserve">Colorimetric signal from retaining of </w:t>
            </w:r>
            <w:proofErr w:type="spellStart"/>
            <w:r w:rsidRPr="00081196">
              <w:rPr>
                <w:rFonts w:ascii="Times New Roman" w:hAnsi="Times New Roman" w:cs="Times New Roman"/>
                <w:sz w:val="20"/>
                <w:szCs w:val="20"/>
                <w:lang w:val="en-US"/>
              </w:rPr>
              <w:t>AuNPs</w:t>
            </w:r>
            <w:proofErr w:type="spellEnd"/>
            <w:r w:rsidRPr="00081196">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50 (OR)</w:t>
            </w:r>
          </w:p>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80 (INHIBIT)</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"10.1016/j.bios.2014.06.007", "ISSN" : "18734235", "PMID" : "24967748", "abstract" : "A universal lateral flow biosensor for proteins and DNAs was designed on the base of target-induced conformational changes of hairpin oligonucleotide (HO). CEA (carcinoembryonic antigen) protein and c-DNA were detected both with the naked eye and a strip reader. The scheme of detecting proteins and DNAs were based on the unique molecular recognition properties of HO to the targets to form different quantities of \"active\" biotin groups on the surface of gold nanoparticles (AuNPs). The output of the strip is the color of the test line, which inspired us to combine strip biosensor with logic gate. Two strip logic gates (\"OR\" and \"INH\") were designed in our paper and the combinatorial logic gates in our paper could be used to make high-throughput judgment about what targets were present in the input samples according to the output results. The biosensor facilitates a portable analysis at ambient temperature as it is simple to be conducted and no requirement of training is needed. The strip logic system is proved an excellent selection and can operate effectively as well as in human serum samples. Therefore, we indicate that such logic strips a foreseeable promise in application of intelligent point-of-care and in-field diagnostics. \u00a9 2014 Elsevier B.V.", "author" : [ { "dropping-particle" : "", "family" : "Huang", "given" : "Yan", "non-dropping-particle" : "", "parse-names" : false, "suffix" : "" }, { "dropping-particle" : "", "family" : "Wen", "given" : "Wei", "non-dropping-particle" : "", "parse-names" : false, "suffix" : "" }, { "dropping-particle" : "", "family" : "Du", "given" : "Dan", "non-dropping-particle" : "", "parse-names" : false, "suffix" : "" }, { "dropping-particle" : "", "family" : "Zhang", "given" : "Xiuhua", "non-dropping-particle" : "", "parse-names" : false, "suffix" : "" }, { "dropping-particle" : "", "family" : "Wang", "given" : "Shengfu", "non-dropping-particle" : "", "parse-names" : false, "suffix" : "" }, { "dropping-particle" : "", "family" : "Lin", "given" : "Yuehe", "non-dropping-particle" : "", "parse-names" : false, "suffix" : "" } ], "container-title" : "Biosensors and Bioelectronics", "id" : "ITEM-1", "issued" : { "date-parts" : [ [ "2014" ] ] }, "page" : "598-604", "title" : "A universal lateral flow biosensor for proteins and DNAs based on the conformational change of hairpin oligonucleotide and its use for logic gate operations", "type" : "article-journal", "volume" : "61" }, "uris" : [ "http://www.mendeley.com/documents/?uuid=09108047-e70b-41c3-8e61-6b65b844fc6d" ] } ], "mendeley" : { "formattedCitation" : "[13]", "plainTextFormattedCitation" : "[13]", "previouslyFormattedCitation" : "[13]"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[13]</w:t>
            </w:r>
            <w:r w:rsidRPr="00591BD9">
              <w:rPr>
                <w:rFonts w:ascii="Times New Roman" w:hAnsi="Times New Roman" w:cs="Times New Roman"/>
                <w:sz w:val="20"/>
                <w:szCs w:val="20"/>
                <w:lang w:val="en-US"/>
              </w:rPr>
              <w:fldChar w:fldCharType="end"/>
            </w:r>
          </w:p>
        </w:tc>
      </w:tr>
      <w:tr w:rsidR="002B6607" w:rsidRPr="00081196" w:rsidTr="0098663C">
        <w:tc>
          <w:tcPr>
            <w:tcW w:w="1951"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Thrombin</w:t>
            </w:r>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Mucin</w:t>
            </w:r>
            <w:proofErr w:type="spellEnd"/>
            <w:r w:rsidRPr="00081196">
              <w:rPr>
                <w:rFonts w:ascii="Times New Roman" w:hAnsi="Times New Roman" w:cs="Times New Roman"/>
                <w:sz w:val="20"/>
                <w:szCs w:val="20"/>
                <w:lang w:val="en-US"/>
              </w:rPr>
              <w:t xml:space="preserve"> I</w:t>
            </w:r>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Carcinoembryonic</w:t>
            </w:r>
            <w:proofErr w:type="spellEnd"/>
            <w:r w:rsidRPr="00081196">
              <w:rPr>
                <w:rFonts w:ascii="Times New Roman" w:hAnsi="Times New Roman" w:cs="Times New Roman"/>
                <w:sz w:val="20"/>
                <w:szCs w:val="20"/>
                <w:lang w:val="en-US"/>
              </w:rPr>
              <w:t xml:space="preserve"> antigen (CEA)</w:t>
            </w:r>
          </w:p>
          <w:p w:rsidR="002B6607" w:rsidRPr="00081196" w:rsidRDefault="002B6607" w:rsidP="0098663C">
            <w:pPr>
              <w:jc w:val="center"/>
              <w:rPr>
                <w:rFonts w:ascii="Times New Roman" w:hAnsi="Times New Roman" w:cs="Times New Roman"/>
                <w:i/>
                <w:sz w:val="20"/>
                <w:szCs w:val="20"/>
                <w:lang w:val="en-US"/>
              </w:rPr>
            </w:pPr>
            <w:r w:rsidRPr="00081196">
              <w:rPr>
                <w:rFonts w:ascii="Times New Roman" w:hAnsi="Times New Roman" w:cs="Times New Roman"/>
                <w:i/>
                <w:sz w:val="20"/>
                <w:szCs w:val="20"/>
                <w:lang w:val="en-US"/>
              </w:rPr>
              <w:t xml:space="preserve">Modified </w:t>
            </w:r>
            <w:proofErr w:type="spellStart"/>
            <w:r w:rsidRPr="00081196">
              <w:rPr>
                <w:rFonts w:ascii="Times New Roman" w:hAnsi="Times New Roman" w:cs="Times New Roman"/>
                <w:i/>
                <w:sz w:val="20"/>
                <w:szCs w:val="20"/>
                <w:lang w:val="en-US"/>
              </w:rPr>
              <w:t>AuNPs</w:t>
            </w:r>
            <w:proofErr w:type="spellEnd"/>
          </w:p>
          <w:p w:rsidR="002B6607" w:rsidRPr="00081196" w:rsidRDefault="002B6607" w:rsidP="0098663C">
            <w:pPr>
              <w:jc w:val="center"/>
              <w:rPr>
                <w:rFonts w:ascii="Times New Roman" w:hAnsi="Times New Roman" w:cs="Times New Roman"/>
                <w:i/>
                <w:sz w:val="20"/>
                <w:szCs w:val="20"/>
                <w:lang w:val="en-US"/>
              </w:rPr>
            </w:pPr>
            <w:r w:rsidRPr="00081196">
              <w:rPr>
                <w:rFonts w:ascii="Times New Roman" w:hAnsi="Times New Roman" w:cs="Times New Roman"/>
                <w:i/>
                <w:sz w:val="20"/>
                <w:szCs w:val="20"/>
                <w:lang w:val="en-US"/>
              </w:rPr>
              <w:t>Aptamer against thrombin</w:t>
            </w:r>
          </w:p>
          <w:p w:rsidR="002B6607" w:rsidRPr="00081196" w:rsidRDefault="002B6607" w:rsidP="0098663C">
            <w:pPr>
              <w:jc w:val="center"/>
              <w:rPr>
                <w:rFonts w:ascii="Times New Roman" w:hAnsi="Times New Roman" w:cs="Times New Roman"/>
                <w:i/>
                <w:sz w:val="20"/>
                <w:szCs w:val="20"/>
                <w:lang w:val="en-US"/>
              </w:rPr>
            </w:pPr>
            <w:r w:rsidRPr="00081196">
              <w:rPr>
                <w:rFonts w:ascii="Times New Roman" w:hAnsi="Times New Roman" w:cs="Times New Roman"/>
                <w:i/>
                <w:sz w:val="20"/>
                <w:szCs w:val="20"/>
                <w:lang w:val="en-US"/>
              </w:rPr>
              <w:t xml:space="preserve">Aptamer against </w:t>
            </w:r>
            <w:proofErr w:type="spellStart"/>
            <w:r w:rsidRPr="00081196">
              <w:rPr>
                <w:rFonts w:ascii="Times New Roman" w:hAnsi="Times New Roman" w:cs="Times New Roman"/>
                <w:i/>
                <w:sz w:val="20"/>
                <w:szCs w:val="20"/>
                <w:lang w:val="en-US"/>
              </w:rPr>
              <w:lastRenderedPageBreak/>
              <w:t>mucin</w:t>
            </w:r>
            <w:proofErr w:type="spellEnd"/>
            <w:r w:rsidRPr="00081196">
              <w:rPr>
                <w:rFonts w:ascii="Times New Roman" w:hAnsi="Times New Roman" w:cs="Times New Roman"/>
                <w:i/>
                <w:sz w:val="20"/>
                <w:szCs w:val="20"/>
                <w:lang w:val="en-US"/>
              </w:rPr>
              <w:t xml:space="preserve"> I</w:t>
            </w:r>
          </w:p>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i/>
                <w:sz w:val="20"/>
                <w:szCs w:val="20"/>
                <w:lang w:val="en-US"/>
              </w:rPr>
              <w:t>Aptamer against CEA</w:t>
            </w:r>
          </w:p>
        </w:tc>
        <w:tc>
          <w:tcPr>
            <w:tcW w:w="2835" w:type="dxa"/>
            <w:vAlign w:val="center"/>
          </w:tcPr>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lastRenderedPageBreak/>
              <w:t>iORi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iINHIBITi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iNANDi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iANDiORi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iANDiINHIBITi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iORiINHIBITi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iINHIBITiNANDi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lastRenderedPageBreak/>
              <w:t>iANDiORiINHIBITi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iANDiINHIBITiNANDi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iORiINHIBITiNANDi</w:t>
            </w:r>
            <w:proofErr w:type="spellEnd"/>
          </w:p>
          <w:p w:rsidR="002B6607" w:rsidRPr="00081196" w:rsidRDefault="002B6607" w:rsidP="0098663C">
            <w:pPr>
              <w:jc w:val="center"/>
              <w:rPr>
                <w:rFonts w:ascii="Times New Roman" w:hAnsi="Times New Roman" w:cs="Times New Roman"/>
                <w:sz w:val="20"/>
                <w:szCs w:val="20"/>
                <w:lang w:val="en-US"/>
              </w:rPr>
            </w:pPr>
            <w:proofErr w:type="spellStart"/>
            <w:r w:rsidRPr="00081196">
              <w:rPr>
                <w:rFonts w:ascii="Times New Roman" w:hAnsi="Times New Roman" w:cs="Times New Roman"/>
                <w:sz w:val="20"/>
                <w:szCs w:val="20"/>
                <w:lang w:val="en-US"/>
              </w:rPr>
              <w:t>iANDiORiINHIBITiNANDi</w:t>
            </w:r>
            <w:proofErr w:type="spellEnd"/>
          </w:p>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keypad-lock system</w:t>
            </w:r>
          </w:p>
        </w:tc>
        <w:tc>
          <w:tcPr>
            <w:tcW w:w="2693"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lastRenderedPageBreak/>
              <w:t>Switching of an aptamer from hairpin DNA to a complex with a target; sandwich scheme (one target vs. two aptamers)</w:t>
            </w:r>
          </w:p>
        </w:tc>
        <w:tc>
          <w:tcPr>
            <w:tcW w:w="2127" w:type="dxa"/>
            <w:vAlign w:val="center"/>
          </w:tcPr>
          <w:p w:rsidR="002B6607" w:rsidRPr="00081196" w:rsidRDefault="002B6607" w:rsidP="0098663C">
            <w:pPr>
              <w:jc w:val="center"/>
              <w:rPr>
                <w:rFonts w:ascii="Times New Roman" w:hAnsi="Times New Roman" w:cs="Times New Roman"/>
                <w:sz w:val="20"/>
                <w:szCs w:val="20"/>
                <w:lang w:val="en-US"/>
              </w:rPr>
            </w:pPr>
            <w:r w:rsidRPr="00081196">
              <w:rPr>
                <w:rFonts w:ascii="Times New Roman" w:hAnsi="Times New Roman" w:cs="Times New Roman"/>
                <w:sz w:val="20"/>
                <w:szCs w:val="20"/>
                <w:lang w:val="en-US"/>
              </w:rPr>
              <w:t xml:space="preserve">Colorimetric signal from retaining of </w:t>
            </w:r>
            <w:proofErr w:type="spellStart"/>
            <w:r w:rsidRPr="00081196">
              <w:rPr>
                <w:rFonts w:ascii="Times New Roman" w:hAnsi="Times New Roman" w:cs="Times New Roman"/>
                <w:sz w:val="20"/>
                <w:szCs w:val="20"/>
                <w:lang w:val="en-US"/>
              </w:rPr>
              <w:t>AuNPs</w:t>
            </w:r>
            <w:proofErr w:type="spellEnd"/>
            <w:r w:rsidRPr="00081196">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730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"10.1016/j.bios.2015.12.096", "ISSN" : "18734235", "PMID" : "26749095", "abstract" : "We developed a strip biosensors array based on aptamer-modified gold nanoparticles as receptors and combined the protein-aptamer binding reaction with the streptavidin-biotin interaction as well as the sandwich format. We found that a series of protein receptors obtained a distinct response pattern to each target protein. Three proteins have been well distinguished with the naked eyes and a portable reader without mutual interference, accompanying with lower limit of detection and wider linear range. A complete set of four elementary logic gates (AND, OR, INH, and NAND) and eight combinative logic gates (AND-OR; AND-INH; OR-INH; INH-NAND; AND-OR-INH; AND-INH-NAND; OR-INH-NAND; AND-OR-INH-NAND) are thoroughly realized using this array, which could eventually be applicable to the keypad-lock system with enhanced complexity in the near future. Moreover, this array shows excellent linear relationships, anti-interference capability, real human serum samples applicability, long-term storage stability and reproducibility. All indicate that this design has very good prospects for development.", "author" : [ { "dropping-particle" : "", "family" : "Qin", "given" : "Chunyan", "non-dropping-particle" : "", "parse-names" : false, "suffix" : "" }, { "dropping-particle" : "", "family" : "Gao", "given" : "Ya", "non-dropping-particle" : "", "parse-names" : false, "suffix" : "" }, { "dropping-particle" : "", "family" : "Wen", "given" : "Wei", "non-dropping-particle" : "", "parse-names" : false, "suffix" : "" }, { "dropping-particle" : "", "family" : "Zhang", "given" : "Xiuhua", "non-dropping-particle" : "", "parse-names" : false, "suffix" : "" }, { "dropping-particle" : "", "family" : "Wang", "given" : "Shengfu", "non-dropping-particle" : "", "parse-names" : false, "suffix" : "" } ], "container-title" : "Biosensors and Bioelectronics", "id" : "ITEM-1", "issued" : { "date-parts" : [ [ "2016" ] ] }, "page" : "522-530", "title" : "Visual multiple recognition of protein biomarkers based on an array of aptamer modified gold nanoparticles in biocomputing to strip biosensor logic operations", "type" : "article-journal", "volume" : "79" }, "uris" : [ "http://www.mendeley.com/documents/?uuid=4217b2ba-cd2d-4152-8743-a0ee3b7fc78e" ] } ], "mendeley" : { "formattedCitation" : "[14]", "plainTextFormattedCitation" : "[14]", "previouslyFormattedCitation" : "[14]"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[14]</w:t>
            </w:r>
            <w:r w:rsidRPr="00591BD9">
              <w:rPr>
                <w:rFonts w:ascii="Times New Roman" w:hAnsi="Times New Roman" w:cs="Times New Roman"/>
                <w:sz w:val="20"/>
                <w:szCs w:val="20"/>
                <w:lang w:val="en-US"/>
              </w:rPr>
              <w:fldChar w:fldCharType="end"/>
            </w:r>
          </w:p>
        </w:tc>
      </w:tr>
      <w:tr w:rsidR="002B6607" w:rsidRPr="007F3EFC" w:rsidTr="0098663C">
        <w:trPr>
          <w:trHeight w:val="392"/>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proofErr w:type="spellStart"/>
            <w:r w:rsidRPr="00591BD9">
              <w:rPr>
                <w:rFonts w:ascii="Times New Roman" w:hAnsi="Times New Roman" w:cs="Times New Roman"/>
                <w:b/>
                <w:sz w:val="20"/>
                <w:szCs w:val="20"/>
              </w:rPr>
              <w:lastRenderedPageBreak/>
              <w:t>Mesoporous</w:t>
            </w:r>
            <w:proofErr w:type="spellEnd"/>
            <w:r w:rsidRPr="00591BD9">
              <w:rPr>
                <w:rFonts w:ascii="Times New Roman" w:hAnsi="Times New Roman" w:cs="Times New Roman"/>
                <w:b/>
                <w:sz w:val="20"/>
                <w:szCs w:val="20"/>
              </w:rPr>
              <w:t xml:space="preserve"> </w:t>
            </w:r>
            <w:proofErr w:type="spellStart"/>
            <w:r w:rsidRPr="00591BD9">
              <w:rPr>
                <w:rFonts w:ascii="Times New Roman" w:hAnsi="Times New Roman" w:cs="Times New Roman"/>
                <w:b/>
                <w:sz w:val="20"/>
                <w:szCs w:val="20"/>
              </w:rPr>
              <w:t>silicon</w:t>
            </w:r>
            <w:proofErr w:type="spellEnd"/>
          </w:p>
        </w:tc>
      </w:tr>
      <w:tr w:rsidR="002B6607" w:rsidRPr="007F3EFC" w:rsidTr="0098663C">
        <w:trPr>
          <w:trHeight w:val="699"/>
        </w:trPr>
        <w:tc>
          <w:tcPr>
            <w:tcW w:w="1951" w:type="dxa"/>
            <w:vAlign w:val="center"/>
          </w:tcPr>
          <w:p w:rsidR="002B6607" w:rsidRPr="007F3EFC" w:rsidRDefault="002B6607" w:rsidP="0098663C">
            <w:pPr>
              <w:jc w:val="center"/>
              <w:rPr>
                <w:rFonts w:ascii="Times New Roman" w:hAnsi="Times New Roman" w:cs="Times New Roman"/>
                <w:sz w:val="20"/>
                <w:szCs w:val="20"/>
                <w:lang w:val="en-US"/>
              </w:rPr>
            </w:pPr>
            <w:r w:rsidRPr="007F3EFC">
              <w:rPr>
                <w:rFonts w:ascii="Times New Roman" w:hAnsi="Times New Roman" w:cs="Times New Roman"/>
                <w:sz w:val="20"/>
                <w:szCs w:val="20"/>
                <w:lang w:val="en-US"/>
              </w:rPr>
              <w:t>Cocaine</w:t>
            </w:r>
          </w:p>
          <w:p w:rsidR="002B6607" w:rsidRPr="007F3EFC" w:rsidRDefault="002B6607" w:rsidP="0098663C">
            <w:pPr>
              <w:jc w:val="center"/>
              <w:rPr>
                <w:rFonts w:ascii="Times New Roman" w:hAnsi="Times New Roman" w:cs="Times New Roman"/>
                <w:sz w:val="20"/>
                <w:szCs w:val="20"/>
                <w:lang w:val="en-US"/>
              </w:rPr>
            </w:pPr>
            <w:r w:rsidRPr="007F3EFC">
              <w:rPr>
                <w:rFonts w:ascii="Times New Roman" w:hAnsi="Times New Roman" w:cs="Times New Roman"/>
                <w:sz w:val="20"/>
                <w:szCs w:val="20"/>
                <w:lang w:val="en-US"/>
              </w:rPr>
              <w:t>Adenosine</w:t>
            </w:r>
          </w:p>
          <w:p w:rsidR="002B6607" w:rsidRPr="007F3EFC" w:rsidRDefault="002B6607" w:rsidP="0098663C">
            <w:pPr>
              <w:jc w:val="center"/>
              <w:rPr>
                <w:rFonts w:ascii="Times New Roman" w:hAnsi="Times New Roman" w:cs="Times New Roman"/>
                <w:sz w:val="20"/>
                <w:szCs w:val="20"/>
                <w:lang w:val="en-US"/>
              </w:rPr>
            </w:pPr>
            <w:r w:rsidRPr="007F3EFC">
              <w:rPr>
                <w:rFonts w:ascii="Times New Roman" w:hAnsi="Times New Roman" w:cs="Times New Roman"/>
                <w:sz w:val="20"/>
                <w:szCs w:val="20"/>
                <w:lang w:val="en-US"/>
              </w:rPr>
              <w:t>K+ ions</w:t>
            </w:r>
          </w:p>
          <w:p w:rsidR="002B6607" w:rsidRPr="007F3EFC" w:rsidRDefault="002B6607" w:rsidP="0098663C">
            <w:pPr>
              <w:jc w:val="center"/>
              <w:rPr>
                <w:rFonts w:ascii="Times New Roman" w:hAnsi="Times New Roman" w:cs="Times New Roman"/>
                <w:i/>
                <w:sz w:val="20"/>
                <w:szCs w:val="20"/>
                <w:lang w:val="en-US"/>
              </w:rPr>
            </w:pPr>
            <w:r w:rsidRPr="007F3EFC">
              <w:rPr>
                <w:rFonts w:ascii="Times New Roman" w:hAnsi="Times New Roman" w:cs="Times New Roman"/>
                <w:i/>
                <w:sz w:val="20"/>
                <w:szCs w:val="20"/>
                <w:lang w:val="en-US"/>
              </w:rPr>
              <w:t>Temperature</w:t>
            </w:r>
          </w:p>
        </w:tc>
        <w:tc>
          <w:tcPr>
            <w:tcW w:w="2835" w:type="dxa"/>
            <w:vAlign w:val="center"/>
          </w:tcPr>
          <w:p w:rsidR="002B6607" w:rsidRPr="007F3EFC" w:rsidRDefault="002B6607" w:rsidP="0098663C">
            <w:pPr>
              <w:jc w:val="center"/>
              <w:rPr>
                <w:rFonts w:ascii="Times New Roman" w:hAnsi="Times New Roman" w:cs="Times New Roman"/>
                <w:sz w:val="20"/>
                <w:szCs w:val="20"/>
              </w:rPr>
            </w:pPr>
            <w:proofErr w:type="spellStart"/>
            <w:r w:rsidRPr="007F3EFC">
              <w:rPr>
                <w:rFonts w:ascii="Times New Roman" w:hAnsi="Times New Roman" w:cs="Times New Roman"/>
                <w:sz w:val="20"/>
                <w:szCs w:val="20"/>
                <w:lang w:val="en-US"/>
              </w:rPr>
              <w:t>iORi</w:t>
            </w:r>
            <w:proofErr w:type="spellEnd"/>
          </w:p>
          <w:p w:rsidR="002B6607" w:rsidRPr="007F3EFC" w:rsidRDefault="002B6607" w:rsidP="0098663C">
            <w:pPr>
              <w:jc w:val="center"/>
              <w:rPr>
                <w:rFonts w:ascii="Times New Roman" w:hAnsi="Times New Roman" w:cs="Times New Roman"/>
                <w:sz w:val="20"/>
                <w:szCs w:val="20"/>
              </w:rPr>
            </w:pPr>
            <w:proofErr w:type="spellStart"/>
            <w:r w:rsidRPr="007F3EFC">
              <w:rPr>
                <w:rFonts w:ascii="Times New Roman" w:hAnsi="Times New Roman" w:cs="Times New Roman"/>
                <w:sz w:val="20"/>
                <w:szCs w:val="20"/>
                <w:lang w:val="en-US"/>
              </w:rPr>
              <w:t>iANDi</w:t>
            </w:r>
            <w:proofErr w:type="spellEnd"/>
          </w:p>
        </w:tc>
        <w:tc>
          <w:tcPr>
            <w:tcW w:w="2693" w:type="dxa"/>
            <w:vAlign w:val="center"/>
          </w:tcPr>
          <w:p w:rsidR="002B6607" w:rsidRPr="007F3EFC" w:rsidRDefault="002B6607" w:rsidP="0098663C">
            <w:pPr>
              <w:jc w:val="center"/>
              <w:rPr>
                <w:rFonts w:ascii="Times New Roman" w:hAnsi="Times New Roman" w:cs="Times New Roman"/>
                <w:sz w:val="20"/>
                <w:szCs w:val="20"/>
                <w:lang w:val="en-US"/>
              </w:rPr>
            </w:pPr>
            <w:r w:rsidRPr="007F3EFC">
              <w:rPr>
                <w:rFonts w:ascii="Times New Roman" w:hAnsi="Times New Roman" w:cs="Times New Roman"/>
                <w:sz w:val="20"/>
                <w:szCs w:val="20"/>
                <w:lang w:val="en-US"/>
              </w:rPr>
              <w:t xml:space="preserve">Switching of an aptamer from </w:t>
            </w:r>
            <w:proofErr w:type="spellStart"/>
            <w:r w:rsidRPr="007F3EFC">
              <w:rPr>
                <w:rFonts w:ascii="Times New Roman" w:hAnsi="Times New Roman" w:cs="Times New Roman"/>
                <w:sz w:val="20"/>
                <w:szCs w:val="20"/>
                <w:lang w:val="en-US"/>
              </w:rPr>
              <w:t>dsDNA</w:t>
            </w:r>
            <w:proofErr w:type="spellEnd"/>
            <w:r w:rsidRPr="007F3EFC">
              <w:rPr>
                <w:rFonts w:ascii="Times New Roman" w:hAnsi="Times New Roman" w:cs="Times New Roman"/>
                <w:sz w:val="20"/>
                <w:szCs w:val="20"/>
                <w:lang w:val="en-US"/>
              </w:rPr>
              <w:t xml:space="preserve"> to a complex with a target</w:t>
            </w:r>
          </w:p>
        </w:tc>
        <w:tc>
          <w:tcPr>
            <w:tcW w:w="2127" w:type="dxa"/>
            <w:vAlign w:val="center"/>
          </w:tcPr>
          <w:p w:rsidR="002B6607" w:rsidRPr="007F3EFC" w:rsidRDefault="002B6607" w:rsidP="0098663C">
            <w:pPr>
              <w:jc w:val="center"/>
              <w:rPr>
                <w:rFonts w:ascii="Times New Roman" w:hAnsi="Times New Roman" w:cs="Times New Roman"/>
                <w:sz w:val="20"/>
                <w:szCs w:val="20"/>
              </w:rPr>
            </w:pPr>
            <w:r>
              <w:rPr>
                <w:rFonts w:ascii="Times New Roman" w:hAnsi="Times New Roman" w:cs="Times New Roman"/>
                <w:sz w:val="20"/>
                <w:szCs w:val="20"/>
                <w:lang w:val="en-US"/>
              </w:rPr>
              <w:t>Luminescence (</w:t>
            </w:r>
            <w:proofErr w:type="spellStart"/>
            <w:r>
              <w:rPr>
                <w:rFonts w:ascii="Times New Roman" w:hAnsi="Times New Roman" w:cs="Times New Roman"/>
                <w:sz w:val="20"/>
                <w:szCs w:val="20"/>
                <w:lang w:val="en-US"/>
              </w:rPr>
              <w:t>rhodamine</w:t>
            </w:r>
            <w:proofErr w:type="spellEnd"/>
            <w:r>
              <w:rPr>
                <w:rFonts w:ascii="Times New Roman" w:hAnsi="Times New Roman" w:cs="Times New Roman"/>
                <w:sz w:val="20"/>
                <w:szCs w:val="20"/>
                <w:lang w:val="en-US"/>
              </w:rPr>
              <w:t xml:space="preserve"> B)</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70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"10.1039/c2cc34501c", "ISSN" : "1364548X", "PMID" : "22801748", "abstract" : "DNA assembles that can perform \u201cOR\u201d and \u201cAND\u201d logic gate operations were fabricated. The feasibility of intelligent logic controlled release was demonstrated through the controlled organization of gold nanoparticles on the surface of mesoporous silica by stimuli-induced structural transformation of DNA ensembles. \u00a9 The Royal Society of Chemistry 2012.", "author" : [ { "dropping-particle" : "", "family" : "Wen", "given" : "Yongqiang", "non-dropping-particle" : "", "parse-names" : false, "suffix" : "" }, { "dropping-particle" : "", "family" : "Xu", "given" : "Liping", "non-dropping-particle" : "", "parse-names" : false, "suffix" : "" }, { "dropping-particle" : "", "family" : "Li", "given" : "Chuanbao", "non-dropping-particle" : "", "parse-names" : false, "suffix" : "" }, { "dropping-particle" : "", "family" : "Du", "given" : "Hongwu", "non-dropping-particle" : "", "parse-names" : false, "suffix" : "" }, { "dropping-particle" : "", "family" : "Chen", "given" : "Linfeng", "non-dropping-particle" : "", "parse-names" : false, "suffix" : "" }, { "dropping-particle" : "", "family" : "Su", "given" : "Bin", "non-dropping-particle" : "", "parse-names" : false, "suffix" : "" }, { "dropping-particle" : "", "family" : "Zhang", "given" : "Zhiliang", "non-dropping-particle" : "", "parse-names" : false, "suffix" : "" }, { "dropping-particle" : "", "family" : "Zhang", "given" : "Xueji", "non-dropping-particle" : "", "parse-names" : false, "suffix" : "" }, { "dropping-particle" : "", "family" : "Song", "given" : "Yanlin", "non-dropping-particle" : "", "parse-names" : false, "suffix" : "" } ], "container-title" : "Chemical Communications", "id" : "ITEM-1", "issue" : "67", "issued" : { "date-parts" : [ [ "2012" ] ] }, "page" : "8410-8412", "title" : "DNA-based intelligent logic controlled release systems", "type" : "article-journal", "volume" : "48" }, "uris" : [ "http://www.mendeley.com/documents/?uuid=a633a1b5-65eb-4947-b6b3-5684adcee23d" ] } ], "mendeley" : { "formattedCitation" : "[15]", "plainTextFormattedCitation" : "[15]", "previouslyFormattedCitation" : "[15]"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[15]</w:t>
            </w:r>
            <w:r w:rsidRPr="00591BD9">
              <w:rPr>
                <w:rFonts w:ascii="Times New Roman" w:hAnsi="Times New Roman" w:cs="Times New Roman"/>
                <w:sz w:val="20"/>
                <w:szCs w:val="20"/>
                <w:lang w:val="en-US"/>
              </w:rPr>
              <w:fldChar w:fldCharType="end"/>
            </w:r>
          </w:p>
        </w:tc>
      </w:tr>
      <w:tr w:rsidR="002B6607" w:rsidRPr="00F41001" w:rsidTr="0098663C">
        <w:trPr>
          <w:trHeight w:val="481"/>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Logic gates based on unmodified gold nanoparticles</w:t>
            </w:r>
          </w:p>
        </w:tc>
      </w:tr>
      <w:tr w:rsidR="002B6607" w:rsidRPr="00F56F2B" w:rsidTr="0098663C">
        <w:tc>
          <w:tcPr>
            <w:tcW w:w="1951" w:type="dxa"/>
            <w:vAlign w:val="center"/>
          </w:tcPr>
          <w:p w:rsidR="002B6607" w:rsidRPr="00F56F2B" w:rsidRDefault="002B6607" w:rsidP="0098663C">
            <w:pPr>
              <w:jc w:val="center"/>
              <w:rPr>
                <w:rFonts w:ascii="Times New Roman" w:hAnsi="Times New Roman" w:cs="Times New Roman"/>
                <w:sz w:val="20"/>
                <w:szCs w:val="20"/>
                <w:lang w:val="en-US"/>
              </w:rPr>
            </w:pPr>
            <w:r w:rsidRPr="00F56F2B">
              <w:rPr>
                <w:rFonts w:ascii="Times New Roman" w:hAnsi="Times New Roman" w:cs="Times New Roman"/>
                <w:sz w:val="20"/>
                <w:szCs w:val="20"/>
                <w:lang w:val="en-US"/>
              </w:rPr>
              <w:t>Adenosine</w:t>
            </w:r>
          </w:p>
          <w:p w:rsidR="002B6607" w:rsidRPr="00F56F2B" w:rsidRDefault="002B6607" w:rsidP="0098663C">
            <w:pPr>
              <w:jc w:val="center"/>
              <w:rPr>
                <w:rFonts w:ascii="Times New Roman" w:hAnsi="Times New Roman" w:cs="Times New Roman"/>
                <w:sz w:val="20"/>
                <w:szCs w:val="20"/>
                <w:lang w:val="en-US"/>
              </w:rPr>
            </w:pPr>
            <w:r w:rsidRPr="00F56F2B">
              <w:rPr>
                <w:rFonts w:ascii="Times New Roman" w:hAnsi="Times New Roman" w:cs="Times New Roman"/>
                <w:sz w:val="20"/>
                <w:szCs w:val="20"/>
                <w:lang w:val="en-US"/>
              </w:rPr>
              <w:t>Cocaine</w:t>
            </w:r>
          </w:p>
        </w:tc>
        <w:tc>
          <w:tcPr>
            <w:tcW w:w="2835" w:type="dxa"/>
            <w:vAlign w:val="center"/>
          </w:tcPr>
          <w:p w:rsidR="002B6607" w:rsidRPr="00F56F2B" w:rsidRDefault="002B6607" w:rsidP="0098663C">
            <w:pPr>
              <w:jc w:val="center"/>
              <w:rPr>
                <w:rFonts w:ascii="Times New Roman" w:hAnsi="Times New Roman" w:cs="Times New Roman"/>
                <w:sz w:val="20"/>
                <w:szCs w:val="20"/>
                <w:lang w:val="en-US"/>
              </w:rPr>
            </w:pPr>
            <w:proofErr w:type="spellStart"/>
            <w:r w:rsidRPr="00F56F2B">
              <w:rPr>
                <w:rFonts w:ascii="Times New Roman" w:hAnsi="Times New Roman" w:cs="Times New Roman"/>
                <w:sz w:val="20"/>
                <w:szCs w:val="20"/>
                <w:lang w:val="en-US"/>
              </w:rPr>
              <w:t>iANDi</w:t>
            </w:r>
            <w:proofErr w:type="spellEnd"/>
          </w:p>
          <w:p w:rsidR="002B6607" w:rsidRPr="00F56F2B" w:rsidRDefault="002B6607" w:rsidP="0098663C">
            <w:pPr>
              <w:jc w:val="center"/>
              <w:rPr>
                <w:rFonts w:ascii="Times New Roman" w:hAnsi="Times New Roman" w:cs="Times New Roman"/>
                <w:sz w:val="20"/>
                <w:szCs w:val="20"/>
                <w:lang w:val="en-US"/>
              </w:rPr>
            </w:pPr>
            <w:proofErr w:type="spellStart"/>
            <w:r w:rsidRPr="00F56F2B">
              <w:rPr>
                <w:rFonts w:ascii="Times New Roman" w:hAnsi="Times New Roman" w:cs="Times New Roman"/>
                <w:sz w:val="20"/>
                <w:szCs w:val="20"/>
                <w:lang w:val="en-US"/>
              </w:rPr>
              <w:t>iORi</w:t>
            </w:r>
            <w:proofErr w:type="spellEnd"/>
          </w:p>
        </w:tc>
        <w:tc>
          <w:tcPr>
            <w:tcW w:w="2693" w:type="dxa"/>
            <w:vAlign w:val="center"/>
          </w:tcPr>
          <w:p w:rsidR="002B6607" w:rsidRPr="00F56F2B" w:rsidRDefault="002B6607" w:rsidP="0098663C">
            <w:pPr>
              <w:jc w:val="center"/>
              <w:rPr>
                <w:rFonts w:ascii="Times New Roman" w:hAnsi="Times New Roman" w:cs="Times New Roman"/>
                <w:sz w:val="20"/>
                <w:szCs w:val="20"/>
                <w:lang w:val="en-US"/>
              </w:rPr>
            </w:pPr>
            <w:r w:rsidRPr="00F56F2B">
              <w:rPr>
                <w:rFonts w:ascii="Times New Roman" w:hAnsi="Times New Roman" w:cs="Times New Roman"/>
                <w:sz w:val="20"/>
                <w:szCs w:val="20"/>
                <w:lang w:val="en-US"/>
              </w:rPr>
              <w:t>The use of a hybrid DNA based on cleaved and combined parts of aptamers</w:t>
            </w:r>
          </w:p>
        </w:tc>
        <w:tc>
          <w:tcPr>
            <w:tcW w:w="2127" w:type="dxa"/>
            <w:vAlign w:val="center"/>
          </w:tcPr>
          <w:p w:rsidR="002B6607" w:rsidRPr="00F56F2B"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Colorimetric signal from aggregation of </w:t>
            </w:r>
            <w:proofErr w:type="spellStart"/>
            <w:r w:rsidRPr="006C39E0">
              <w:rPr>
                <w:rFonts w:ascii="Times New Roman" w:hAnsi="Times New Roman" w:cs="Times New Roman"/>
                <w:sz w:val="20"/>
                <w:szCs w:val="20"/>
                <w:lang w:val="en-US"/>
              </w:rPr>
              <w:t>AuNP</w:t>
            </w:r>
            <w:r>
              <w:rPr>
                <w:rFonts w:ascii="Times New Roman" w:hAnsi="Times New Roman" w:cs="Times New Roman"/>
                <w:sz w:val="20"/>
                <w:szCs w:val="20"/>
                <w:lang w:val="en-US"/>
              </w:rPr>
              <w:t>s</w:t>
            </w:r>
            <w:proofErr w:type="spellEnd"/>
            <w:r>
              <w:rPr>
                <w:rFonts w:ascii="Times New Roman" w:hAnsi="Times New Roman" w:cs="Times New Roman"/>
                <w:sz w:val="20"/>
                <w:szCs w:val="20"/>
                <w:lang w:val="en-US"/>
              </w:rPr>
              <w:t xml:space="preserve"> </w:t>
            </w:r>
            <w:r w:rsidRPr="006C39E0">
              <w:rPr>
                <w:rFonts w:ascii="Times New Roman" w:hAnsi="Times New Roman" w:cs="Times New Roman"/>
                <w:sz w:val="20"/>
                <w:szCs w:val="20"/>
                <w:lang w:val="en-US"/>
              </w:rPr>
              <w:t>(SPR)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"10.1039/c1cc13459k", "ISSN" : "1364548X", "PMID" : "21779550", "abstract" : "Herein we report the \"OR\" and \"AND\" colorimetric logic gates for small molecules using split/integrated aptamers and unmodified gold nanoparticles, which generate visually observed outputs according to Boolean operations. \u00a9 2011 The Royal Society of Chemistry.", "author" : [ { "dropping-particle" : "", "family" : "Xu", "given" : "Xiaowen", "non-dropping-particle" : "", "parse-names" : false, "suffix" : "" }, { "dropping-particle" : "", "family" : "Zhang", "given" : "Jia", "non-dropping-particle" : "", "parse-names" : false, "suffix" : "" }, { "dropping-particle" : "", "family" : "Yang", "given" : "Fan", "non-dropping-particle" : "", "parse-names" : false, "suffix" : "" }, { "dropping-particle" : "", "family" : "Yang", "given" : "Xiurong", "non-dropping-particle" : "", "parse-names" : false, "suffix" : "" } ], "container-title" : "Chemical Communications", "id" : "ITEM-1", "issue" : "33", "issued" : { "date-parts" : [ [ "2011" ] ] }, "page" : "9435-9437", "title" : "Colorimetric logic gates for small molecules using split/integrated aptamers and unmodified gold nanoparticles", "type" : "article-journal", "volume" : "47" }, "uris" : [ "http://www.mendeley.com/documents/?uuid=8c2e96e5-42c8-4f6d-b598-8c9fc5c91699" ] } ], "mendeley" : { "formattedCitation" : "[16]", "plainTextFormattedCitation" : "[16]", "previouslyFormattedCitation" : "[16]"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[16]</w:t>
            </w:r>
            <w:r w:rsidRPr="00591BD9">
              <w:rPr>
                <w:rFonts w:ascii="Times New Roman" w:hAnsi="Times New Roman" w:cs="Times New Roman"/>
                <w:sz w:val="20"/>
                <w:szCs w:val="20"/>
                <w:lang w:val="en-US"/>
              </w:rPr>
              <w:fldChar w:fldCharType="end"/>
            </w:r>
          </w:p>
        </w:tc>
      </w:tr>
      <w:tr w:rsidR="002B6607" w:rsidRPr="00F56F2B" w:rsidTr="0098663C">
        <w:tc>
          <w:tcPr>
            <w:tcW w:w="1951" w:type="dxa"/>
            <w:vAlign w:val="center"/>
          </w:tcPr>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Bisphenol</w:t>
            </w:r>
            <w:proofErr w:type="spellEnd"/>
            <w:r>
              <w:rPr>
                <w:rFonts w:ascii="Times New Roman" w:hAnsi="Times New Roman" w:cs="Times New Roman"/>
                <w:sz w:val="20"/>
                <w:szCs w:val="20"/>
                <w:lang w:val="en-US"/>
              </w:rPr>
              <w:t xml:space="preserve"> A</w:t>
            </w:r>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Bisphenol</w:t>
            </w:r>
            <w:proofErr w:type="spellEnd"/>
            <w:r>
              <w:rPr>
                <w:rFonts w:ascii="Times New Roman" w:hAnsi="Times New Roman" w:cs="Times New Roman"/>
                <w:sz w:val="20"/>
                <w:szCs w:val="20"/>
                <w:lang w:val="en-US"/>
              </w:rPr>
              <w:t xml:space="preserve"> S</w:t>
            </w:r>
          </w:p>
          <w:p w:rsidR="002B6607" w:rsidRPr="00F56F2B"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Aptamer against </w:t>
            </w:r>
            <w:proofErr w:type="spellStart"/>
            <w:r>
              <w:rPr>
                <w:rFonts w:ascii="Times New Roman" w:hAnsi="Times New Roman" w:cs="Times New Roman"/>
                <w:sz w:val="20"/>
                <w:szCs w:val="20"/>
                <w:lang w:val="en-US"/>
              </w:rPr>
              <w:t>bisphenol</w:t>
            </w:r>
            <w:proofErr w:type="spellEnd"/>
            <w:r>
              <w:rPr>
                <w:rFonts w:ascii="Times New Roman" w:hAnsi="Times New Roman" w:cs="Times New Roman"/>
                <w:sz w:val="20"/>
                <w:szCs w:val="20"/>
                <w:lang w:val="en-US"/>
              </w:rPr>
              <w:t xml:space="preserve"> A</w:t>
            </w:r>
          </w:p>
        </w:tc>
        <w:tc>
          <w:tcPr>
            <w:tcW w:w="2835" w:type="dxa"/>
            <w:vAlign w:val="center"/>
          </w:tcPr>
          <w:p w:rsidR="002B6607" w:rsidRDefault="002B6607" w:rsidP="0098663C">
            <w:pPr>
              <w:jc w:val="center"/>
              <w:rPr>
                <w:rFonts w:ascii="Times New Roman" w:hAnsi="Times New Roman" w:cs="Times New Roman"/>
                <w:lang w:val="en-US"/>
              </w:rPr>
            </w:pPr>
            <w:r>
              <w:rPr>
                <w:rFonts w:ascii="Times New Roman" w:hAnsi="Times New Roman" w:cs="Times New Roman"/>
                <w:lang w:val="en-US"/>
              </w:rPr>
              <w:t>iIMPLY1i</w:t>
            </w:r>
          </w:p>
          <w:p w:rsidR="002B6607" w:rsidRDefault="002B6607" w:rsidP="0098663C">
            <w:pPr>
              <w:jc w:val="center"/>
              <w:rPr>
                <w:rFonts w:ascii="Times New Roman" w:hAnsi="Times New Roman" w:cs="Times New Roman"/>
                <w:lang w:val="en-US"/>
              </w:rPr>
            </w:pPr>
            <w:r>
              <w:rPr>
                <w:rFonts w:ascii="Times New Roman" w:hAnsi="Times New Roman" w:cs="Times New Roman"/>
                <w:lang w:val="en-US"/>
              </w:rPr>
              <w:t>iIMPLY2i</w:t>
            </w:r>
          </w:p>
          <w:p w:rsidR="002B6607" w:rsidRDefault="002B6607" w:rsidP="0098663C">
            <w:pPr>
              <w:jc w:val="center"/>
              <w:rPr>
                <w:rFonts w:ascii="Times New Roman" w:hAnsi="Times New Roman" w:cs="Times New Roman"/>
                <w:lang w:val="en-US"/>
              </w:rPr>
            </w:pPr>
            <w:r>
              <w:rPr>
                <w:rFonts w:ascii="Times New Roman" w:hAnsi="Times New Roman" w:cs="Times New Roman"/>
                <w:lang w:val="en-US"/>
              </w:rPr>
              <w:t>iIMPLY1iIMPLY2i</w:t>
            </w:r>
          </w:p>
          <w:p w:rsidR="002B6607" w:rsidRPr="00F56F2B"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lang w:val="en-US"/>
              </w:rPr>
              <w:t>iORi</w:t>
            </w:r>
            <w:proofErr w:type="spellEnd"/>
          </w:p>
        </w:tc>
        <w:tc>
          <w:tcPr>
            <w:tcW w:w="2693" w:type="dxa"/>
            <w:vAlign w:val="center"/>
          </w:tcPr>
          <w:p w:rsidR="002B6607" w:rsidRPr="00F56F2B"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F</w:t>
            </w:r>
            <w:r w:rsidRPr="00875A1C">
              <w:rPr>
                <w:rFonts w:ascii="Times New Roman" w:hAnsi="Times New Roman" w:cs="Times New Roman"/>
                <w:sz w:val="20"/>
                <w:szCs w:val="20"/>
                <w:lang w:val="en-US"/>
              </w:rPr>
              <w:t>ormation of a complex of an aptamer with a target</w:t>
            </w:r>
          </w:p>
        </w:tc>
        <w:tc>
          <w:tcPr>
            <w:tcW w:w="2127" w:type="dxa"/>
            <w:vAlign w:val="center"/>
          </w:tcPr>
          <w:p w:rsidR="002B6607" w:rsidRPr="006C39E0" w:rsidRDefault="002B6607" w:rsidP="0098663C">
            <w:pPr>
              <w:jc w:val="center"/>
              <w:rPr>
                <w:rFonts w:ascii="Times New Roman" w:hAnsi="Times New Roman" w:cs="Times New Roman"/>
                <w:sz w:val="20"/>
                <w:szCs w:val="20"/>
                <w:lang w:val="en-US"/>
              </w:rPr>
            </w:pPr>
            <w:r w:rsidRPr="006C39E0">
              <w:rPr>
                <w:rFonts w:ascii="Times New Roman" w:hAnsi="Times New Roman" w:cs="Times New Roman"/>
                <w:sz w:val="20"/>
                <w:szCs w:val="20"/>
                <w:lang w:val="en-US"/>
              </w:rPr>
              <w:t xml:space="preserve">Colorimetric signal from aggregation of </w:t>
            </w:r>
            <w:proofErr w:type="spellStart"/>
            <w:r w:rsidRPr="006C39E0">
              <w:rPr>
                <w:rFonts w:ascii="Times New Roman" w:hAnsi="Times New Roman" w:cs="Times New Roman"/>
                <w:sz w:val="20"/>
                <w:szCs w:val="20"/>
                <w:lang w:val="en-US"/>
              </w:rPr>
              <w:t>AuNP</w:t>
            </w:r>
            <w:r>
              <w:rPr>
                <w:rFonts w:ascii="Times New Roman" w:hAnsi="Times New Roman" w:cs="Times New Roman"/>
                <w:sz w:val="20"/>
                <w:szCs w:val="20"/>
                <w:lang w:val="en-US"/>
              </w:rPr>
              <w:t>s</w:t>
            </w:r>
            <w:proofErr w:type="spellEnd"/>
            <w:r>
              <w:rPr>
                <w:rFonts w:ascii="Times New Roman" w:hAnsi="Times New Roman" w:cs="Times New Roman"/>
                <w:sz w:val="20"/>
                <w:szCs w:val="20"/>
                <w:lang w:val="en-US"/>
              </w:rPr>
              <w:t xml:space="preserve"> </w:t>
            </w:r>
            <w:r w:rsidRPr="006C39E0">
              <w:rPr>
                <w:rFonts w:ascii="Times New Roman" w:hAnsi="Times New Roman" w:cs="Times New Roman"/>
                <w:sz w:val="20"/>
                <w:szCs w:val="20"/>
                <w:lang w:val="en-US"/>
              </w:rPr>
              <w:t>(SPR)</w:t>
            </w:r>
          </w:p>
        </w:tc>
        <w:tc>
          <w:tcPr>
            <w:tcW w:w="3118" w:type="dxa"/>
            <w:vAlign w:val="center"/>
          </w:tcPr>
          <w:p w:rsidR="002B6607" w:rsidRPr="00591BD9" w:rsidRDefault="002B6607" w:rsidP="0098663C">
            <w:pPr>
              <w:jc w:val="center"/>
              <w:rPr>
                <w:rFonts w:ascii="Times New Roman" w:hAnsi="Times New Roman" w:cs="Times New Roman"/>
                <w:lang w:val="en-US"/>
              </w:rPr>
            </w:pPr>
            <w:r w:rsidRPr="00591BD9">
              <w:rPr>
                <w:rFonts w:ascii="Times New Roman" w:hAnsi="Times New Roman" w:cs="Times New Roman"/>
                <w:lang w:val="en-US"/>
              </w:rPr>
              <w:t>18</w:t>
            </w:r>
          </w:p>
        </w:tc>
        <w:tc>
          <w:tcPr>
            <w:tcW w:w="1559" w:type="dxa"/>
            <w:vAlign w:val="center"/>
          </w:tcPr>
          <w:p w:rsidR="002B6607" w:rsidRPr="00591BD9" w:rsidRDefault="002B6607" w:rsidP="0098663C">
            <w:pPr>
              <w:jc w:val="center"/>
              <w:rPr>
                <w:rFonts w:ascii="Times New Roman" w:hAnsi="Times New Roman" w:cs="Times New Roman"/>
                <w:sz w:val="16"/>
                <w:szCs w:val="16"/>
                <w:lang w:val="en-US"/>
              </w:rPr>
            </w:pPr>
            <w:r w:rsidRPr="00591BD9">
              <w:rPr>
                <w:rFonts w:ascii="Times New Roman" w:hAnsi="Times New Roman" w:cs="Times New Roman"/>
                <w:sz w:val="16"/>
                <w:szCs w:val="16"/>
                <w:lang w:val="en-US"/>
              </w:rPr>
              <w:fldChar w:fldCharType="begin" w:fldLock="1"/>
            </w:r>
            <w:r w:rsidRPr="00591BD9">
              <w:rPr>
                <w:rFonts w:ascii="Times New Roman" w:hAnsi="Times New Roman" w:cs="Times New Roman"/>
                <w:sz w:val="16"/>
                <w:szCs w:val="16"/>
                <w:lang w:val="en-US"/>
              </w:rPr>
              <w:instrText>ADDIN CSL_CITATION { "citationItems" : [ { "id" : "ITEM-1", "itemData" : { "DOI" : "10.1039/c3cc42002g", "ISSN" : "1364548X", "PMID" : "23715408", "abstract" : "A novel functionalized aptamer based \u2018turn-off\u2019 fluorescent biosensor for ultra-sensitive detection of small molecules like bisphenol-A in water samples. \u00a9 2013 The Royal Society of Chemistry.", "author" : [ { "dropping-particle" : "V.", "family" : "Ragavan", "given" : "K.", "non-dropping-particle" : "", "parse-names" : false, "suffix" : "" }, { "dropping-particle" : "", "family" : "Selvakumar", "given" : "L. S.", "non-dropping-particle" : "", "parse-names" : false, "suffix" : "" }, { "dropping-particle" : "", "family" : "Thakur", "given" : "M. S.", "non-dropping-particle" : "", "parse-names" : false, "suffix" : "" } ], "container-title" : "Chemical Communications", "id" : "ITEM-1", "issue" : "53", "issued" : { "date-parts" : [ [ "2013" ] ] }, "page" : "5960-5962", "title" : "Functionalized aptamers as nano-bioprobes for ultrasensitive detection of bisphenol-A", "type" : "article-journal", "volume" : "49" }, "uris" : [ "http://www.mendeley.com/documents/?uuid=2531a4f2-a429-41d6-9204-69ab3403fc45" ] } ], "mendeley" : { "formattedCitation" : "[17]", "plainTextFormattedCitation" : "[17]", "previouslyFormattedCitation" : "[17]" }, "properties" : { "noteIndex" : 0 }, "schema" : "https://github.com/citation-style-language/schema/raw/master/csl-citation.json" }</w:instrText>
            </w:r>
            <w:r w:rsidRPr="00591BD9">
              <w:rPr>
                <w:rFonts w:ascii="Times New Roman" w:hAnsi="Times New Roman" w:cs="Times New Roman"/>
                <w:sz w:val="16"/>
                <w:szCs w:val="16"/>
                <w:lang w:val="en-US"/>
              </w:rPr>
              <w:fldChar w:fldCharType="separate"/>
            </w:r>
            <w:r w:rsidRPr="00591BD9">
              <w:rPr>
                <w:rFonts w:ascii="Times New Roman" w:hAnsi="Times New Roman" w:cs="Times New Roman"/>
                <w:noProof/>
                <w:sz w:val="16"/>
                <w:szCs w:val="16"/>
                <w:lang w:val="en-US"/>
              </w:rPr>
              <w:t>[17]</w:t>
            </w:r>
            <w:r w:rsidRPr="00591BD9">
              <w:rPr>
                <w:rFonts w:ascii="Times New Roman" w:hAnsi="Times New Roman" w:cs="Times New Roman"/>
                <w:sz w:val="16"/>
                <w:szCs w:val="16"/>
                <w:lang w:val="en-US"/>
              </w:rPr>
              <w:fldChar w:fldCharType="end"/>
            </w:r>
          </w:p>
        </w:tc>
      </w:tr>
      <w:tr w:rsidR="002B6607" w:rsidRPr="000E5080" w:rsidTr="0098663C">
        <w:tc>
          <w:tcPr>
            <w:tcW w:w="1951" w:type="dxa"/>
            <w:vAlign w:val="center"/>
          </w:tcPr>
          <w:p w:rsidR="002B6607" w:rsidRPr="000E5080"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D-arginine vasopressin</w:t>
            </w:r>
          </w:p>
          <w:p w:rsidR="002B6607" w:rsidRPr="000E5080" w:rsidRDefault="002B6607" w:rsidP="0098663C">
            <w:pPr>
              <w:jc w:val="center"/>
              <w:rPr>
                <w:rFonts w:ascii="Times New Roman" w:hAnsi="Times New Roman" w:cs="Times New Roman"/>
                <w:i/>
                <w:sz w:val="20"/>
                <w:szCs w:val="20"/>
                <w:lang w:val="en-US"/>
              </w:rPr>
            </w:pPr>
            <w:r w:rsidRPr="000E5080">
              <w:rPr>
                <w:rFonts w:ascii="Times New Roman" w:hAnsi="Times New Roman" w:cs="Times New Roman"/>
                <w:i/>
                <w:sz w:val="20"/>
                <w:szCs w:val="20"/>
                <w:lang w:val="en-US"/>
              </w:rPr>
              <w:t>Aptamer against D-arginine vasopressin</w:t>
            </w:r>
          </w:p>
        </w:tc>
        <w:tc>
          <w:tcPr>
            <w:tcW w:w="2835" w:type="dxa"/>
            <w:vAlign w:val="center"/>
          </w:tcPr>
          <w:p w:rsidR="002B6607" w:rsidRPr="000E5080" w:rsidRDefault="002B6607" w:rsidP="0098663C">
            <w:pPr>
              <w:jc w:val="center"/>
              <w:rPr>
                <w:rFonts w:ascii="Times New Roman" w:hAnsi="Times New Roman" w:cs="Times New Roman"/>
                <w:sz w:val="20"/>
                <w:szCs w:val="20"/>
                <w:lang w:val="en-US"/>
              </w:rPr>
            </w:pPr>
            <w:proofErr w:type="spellStart"/>
            <w:r w:rsidRPr="000E5080">
              <w:rPr>
                <w:rFonts w:ascii="Times New Roman" w:hAnsi="Times New Roman" w:cs="Times New Roman"/>
                <w:sz w:val="20"/>
                <w:szCs w:val="20"/>
                <w:lang w:val="en-US"/>
              </w:rPr>
              <w:t>iINHIBITi</w:t>
            </w:r>
            <w:proofErr w:type="spellEnd"/>
          </w:p>
        </w:tc>
        <w:tc>
          <w:tcPr>
            <w:tcW w:w="2693" w:type="dxa"/>
            <w:vAlign w:val="center"/>
          </w:tcPr>
          <w:p w:rsidR="002B6607" w:rsidRPr="000E5080"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Formation of a complex of an aptamer with a target</w:t>
            </w:r>
          </w:p>
        </w:tc>
        <w:tc>
          <w:tcPr>
            <w:tcW w:w="2127" w:type="dxa"/>
            <w:vAlign w:val="center"/>
          </w:tcPr>
          <w:p w:rsidR="002B6607" w:rsidRPr="000E5080"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 xml:space="preserve">Colorimetric signal from aggregation of </w:t>
            </w:r>
            <w:proofErr w:type="spellStart"/>
            <w:r w:rsidRPr="000E5080">
              <w:rPr>
                <w:rFonts w:ascii="Times New Roman" w:hAnsi="Times New Roman" w:cs="Times New Roman"/>
                <w:sz w:val="20"/>
                <w:szCs w:val="20"/>
                <w:lang w:val="en-US"/>
              </w:rPr>
              <w:t>AuNPs</w:t>
            </w:r>
            <w:proofErr w:type="spellEnd"/>
            <w:r w:rsidRPr="000E5080">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40</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"10.1002/chem.201202430", "ISSN" : "09476539", "PMID" : "23233391", "abstract" : "At the gate: Colorimetric enantiorecognition of one oligopeptide was realized by virtue of a D-enantiomer specific DNA aptamer as chiral selector and unmodified gold nanoparticles as indicator. Oligopeptide enantiomers as inputs were introduced into colorimetric logic gates, which have the potential for enantiorecognition of oligopeptides (see figure). This system may lead to a better understanding of chiral recognition for information processing in natural systems. Copyright \u00a9 2013 WILEY-VCH Verlag GmbH &amp; Co. KGaA, Weinheim.", "author" : [ { "dropping-particle" : "", "family" : "Ren", "given" : "Jiangtao", "non-dropping-particle" : "", "parse-names" : false, "suffix" : "" }, { "dropping-particle" : "", "family" : "Wang", "given" : "Jiahai", "non-dropping-particle" : "", "parse-names" : false, "suffix" : "" }, { "dropping-particle" : "", "family" : "Wang", "given" : "Jin", "non-dropping-particle" : "", "parse-names" : false, "suffix" : "" }, { "dropping-particle" : "", "family" : "Wang", "given" : "Erkang", "non-dropping-particle" : "", "parse-names" : false, "suffix" : "" } ], "container-title" : "Chemistry - A European Journal", "id" : "ITEM-1", "issue" : "2", "issued" : { "date-parts" : [ [ "2013" ] ] }, "page" : "479-483", "title" : "Colorimetric enantiorecognition of oligopeptide and logic gate construction based on DNA aptamer-ligand-gold nanoparticle interactions", "type" : "article-journal", "volume" : "19" }, "uris" : [ "http://www.mendeley.com/documents/?uuid=ae30cd8d-ee21-43bf-91bd-39ae455f0a8b" ] } ], "mendeley" : { "formattedCitation" : "[18]", "plainTextFormattedCitation" : "[18]", "previouslyFormattedCitation" : "[18]"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[18]</w:t>
            </w:r>
            <w:r w:rsidRPr="00591BD9">
              <w:rPr>
                <w:rFonts w:ascii="Times New Roman" w:hAnsi="Times New Roman" w:cs="Times New Roman"/>
                <w:sz w:val="20"/>
                <w:szCs w:val="20"/>
                <w:lang w:val="en-US"/>
              </w:rPr>
              <w:fldChar w:fldCharType="end"/>
            </w:r>
          </w:p>
        </w:tc>
      </w:tr>
      <w:tr w:rsidR="002B6607" w:rsidRPr="000E5080" w:rsidTr="0098663C">
        <w:tc>
          <w:tcPr>
            <w:tcW w:w="1951" w:type="dxa"/>
            <w:vAlign w:val="center"/>
          </w:tcPr>
          <w:p w:rsidR="002B6607" w:rsidRPr="000E5080" w:rsidRDefault="002B6607" w:rsidP="0098663C">
            <w:pPr>
              <w:jc w:val="center"/>
              <w:rPr>
                <w:rFonts w:ascii="Times New Roman" w:hAnsi="Times New Roman" w:cs="Times New Roman"/>
                <w:sz w:val="20"/>
                <w:szCs w:val="20"/>
              </w:rPr>
            </w:pPr>
            <w:r w:rsidRPr="000E5080">
              <w:rPr>
                <w:rFonts w:ascii="Times New Roman" w:hAnsi="Times New Roman" w:cs="Times New Roman"/>
                <w:sz w:val="20"/>
                <w:szCs w:val="20"/>
                <w:lang w:val="en-US"/>
              </w:rPr>
              <w:t>D-</w:t>
            </w:r>
            <w:proofErr w:type="spellStart"/>
            <w:r w:rsidRPr="000E5080">
              <w:rPr>
                <w:rFonts w:ascii="Times New Roman" w:hAnsi="Times New Roman" w:cs="Times New Roman"/>
                <w:sz w:val="20"/>
                <w:szCs w:val="20"/>
                <w:lang w:val="en-US"/>
              </w:rPr>
              <w:t>arginin</w:t>
            </w:r>
            <w:proofErr w:type="spellEnd"/>
          </w:p>
          <w:p w:rsidR="002B6607" w:rsidRPr="000E5080" w:rsidRDefault="002B6607" w:rsidP="0098663C">
            <w:pPr>
              <w:jc w:val="center"/>
              <w:rPr>
                <w:rFonts w:ascii="Times New Roman" w:hAnsi="Times New Roman" w:cs="Times New Roman"/>
                <w:sz w:val="20"/>
                <w:szCs w:val="20"/>
              </w:rPr>
            </w:pPr>
            <w:r w:rsidRPr="000E5080">
              <w:rPr>
                <w:rFonts w:ascii="Times New Roman" w:hAnsi="Times New Roman" w:cs="Times New Roman"/>
                <w:sz w:val="20"/>
                <w:szCs w:val="20"/>
                <w:lang w:val="en-US"/>
              </w:rPr>
              <w:t>L-</w:t>
            </w:r>
            <w:proofErr w:type="spellStart"/>
            <w:r w:rsidRPr="000E5080">
              <w:rPr>
                <w:rFonts w:ascii="Times New Roman" w:hAnsi="Times New Roman" w:cs="Times New Roman"/>
                <w:sz w:val="20"/>
                <w:szCs w:val="20"/>
                <w:lang w:val="en-US"/>
              </w:rPr>
              <w:t>arginin</w:t>
            </w:r>
            <w:proofErr w:type="spellEnd"/>
          </w:p>
        </w:tc>
        <w:tc>
          <w:tcPr>
            <w:tcW w:w="2835" w:type="dxa"/>
            <w:vAlign w:val="center"/>
          </w:tcPr>
          <w:p w:rsidR="002B6607" w:rsidRPr="000E5080" w:rsidRDefault="002B6607" w:rsidP="0098663C">
            <w:pPr>
              <w:jc w:val="center"/>
              <w:rPr>
                <w:rFonts w:ascii="Times New Roman" w:hAnsi="Times New Roman" w:cs="Times New Roman"/>
                <w:sz w:val="20"/>
                <w:szCs w:val="20"/>
                <w:lang w:val="en-US"/>
              </w:rPr>
            </w:pPr>
            <w:proofErr w:type="spellStart"/>
            <w:r w:rsidRPr="000E5080">
              <w:rPr>
                <w:rFonts w:ascii="Times New Roman" w:hAnsi="Times New Roman" w:cs="Times New Roman"/>
                <w:sz w:val="20"/>
                <w:szCs w:val="20"/>
                <w:lang w:val="en-US"/>
              </w:rPr>
              <w:t>iORi</w:t>
            </w:r>
            <w:proofErr w:type="spellEnd"/>
          </w:p>
        </w:tc>
        <w:tc>
          <w:tcPr>
            <w:tcW w:w="2693" w:type="dxa"/>
            <w:vAlign w:val="center"/>
          </w:tcPr>
          <w:p w:rsidR="002B6607" w:rsidRPr="000E5080"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Formation of a complex of an aptamer with a target</w:t>
            </w:r>
          </w:p>
        </w:tc>
        <w:tc>
          <w:tcPr>
            <w:tcW w:w="2127" w:type="dxa"/>
            <w:vAlign w:val="center"/>
          </w:tcPr>
          <w:p w:rsidR="002B6607" w:rsidRPr="000E5080"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 xml:space="preserve">Colorimetric signal from aggregation of </w:t>
            </w:r>
            <w:proofErr w:type="spellStart"/>
            <w:r w:rsidRPr="000E5080">
              <w:rPr>
                <w:rFonts w:ascii="Times New Roman" w:hAnsi="Times New Roman" w:cs="Times New Roman"/>
                <w:sz w:val="20"/>
                <w:szCs w:val="20"/>
                <w:lang w:val="en-US"/>
              </w:rPr>
              <w:t>AuNPs</w:t>
            </w:r>
            <w:proofErr w:type="spellEnd"/>
            <w:r w:rsidRPr="000E5080">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45</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"10.1016/j.saa.2018.04.038", "ISSN" : "13861425", "PMID" : "29709792", "abstract" : "In this study, a novel aptamer - based fluorescence bio-sensor (aptamer-AuNps) was developed for chiral recognition of arginine (Arg) enantiomers based on aptamer and gold nanoparticles (AuNps). Carboxyfluorescein (FAM) labeled aptamers (Apt) were absorbed on AuNps and their fluorescence intensity could be significantly quenched by AuNps based on fluorescence resonance energy transfer (FRET). Once D-Arg or L-Arg were added into the above solution, the aptamer specifically bind to Arg enantiomers and released from AuNps, so the fluorescence intensity of D-Arg system and L-Arg system were all enhanced. The affinity of Apt to L-Arg is tighter to D-Arg, so the enhanced fluorescence signals of L-Arg system was stronger than D-Arg system. What's more, the enhanced fluorescence were directly proportional to the concentration of D-Arg and L-Arg ranging from 0\u2013300 nM and 0\u2013400 nM with related coefficients of 0.9939 and 0.9952, respectively. Furthermore, the method was successfully applied to detection L-Arg in human urine samples with satisfactory results. Eventually, a simple \u201cOR\u201d logic gate with D-Arg &amp; L-Arg as inputs and AuNps aggregation state as outputs was fabricated, which can help us understand the chiral recognition process deeply.", "author" : [ { "dropping-particle" : "", "family" : "Yuan", "given" : "Haiyan", "non-dropping-particle" : "", "parse-names" : false, "suffix" : "" }, { "dropping-particle" : "", "family" : "Huang", "given" : "Yunmei", "non-dropping-particle" : "", "parse-names" : false, "suffix" : "" }, { "dropping-particle" : "", "family" : "Yang", "given" : "Jidong", "non-dropping-particle" : "", "parse-names" : false, "suffix" : "" }, { "dropping-particle" : "", "family" : "Guo", "given" : "Yuan", "non-dropping-particle" : "", "parse-names" : false, "suffix" : "" }, { "dropping-particle" : "", "family" : "Zeng", "given" : "Xiaoqing", "non-dropping-particle" : "", "parse-names" : false, "suffix" : "" }, { "dropping-particle" : "", "family" : "Zhou", "given" : "Shang", "non-dropping-particle" : "", "parse-names" : false, "suffix" : "" }, { "dropping-particle" : "", "family" : "Cheng", "given" : "Jiawei", "non-dropping-particle" : "", "parse-names" : false, "suffix" : "" }, { "dropping-particle" : "", "family" : "Zhang", "given" : "Yuhui", "non-dropping-particle" : "", "parse-names" : false, "suffix" : "" } ], "container-title" : "Spectrochimica Acta - Part A: Molecular and Biomolecular Spectroscopy", "id" : "ITEM-1", "issued" : { "date-parts" : [ [ "2018" ] ] }, "page" : "330-338", "title" : "An aptamer-based fluorescence bio-sensor for chiral recognition of arginine enantiomers", "type" : "article-journal", "volume" : "200" }, "uris" : [ "http://www.mendeley.com/documents/?uuid=3cff53ba-0721-4110-aeea-0645db576118" ] } ], "mendeley" : { "formattedCitation" : "[19]", "plainTextFormattedCitation" : "[19]", "previouslyFormattedCitation" : "[19]"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[19]</w:t>
            </w:r>
            <w:r w:rsidRPr="00591BD9">
              <w:rPr>
                <w:rFonts w:ascii="Times New Roman" w:hAnsi="Times New Roman" w:cs="Times New Roman"/>
                <w:sz w:val="20"/>
                <w:szCs w:val="20"/>
                <w:lang w:val="en-US"/>
              </w:rPr>
              <w:fldChar w:fldCharType="end"/>
            </w:r>
          </w:p>
        </w:tc>
      </w:tr>
      <w:tr w:rsidR="002B6607" w:rsidRPr="000E5080" w:rsidTr="0098663C">
        <w:trPr>
          <w:trHeight w:val="452"/>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Hydrogels</w:t>
            </w:r>
          </w:p>
        </w:tc>
      </w:tr>
      <w:tr w:rsidR="002B6607" w:rsidRPr="00212AEA" w:rsidTr="0098663C">
        <w:tc>
          <w:tcPr>
            <w:tcW w:w="1951" w:type="dxa"/>
            <w:vAlign w:val="center"/>
          </w:tcPr>
          <w:p w:rsidR="002B6607" w:rsidRPr="00212AEA" w:rsidRDefault="002B6607" w:rsidP="0098663C">
            <w:pPr>
              <w:jc w:val="center"/>
              <w:rPr>
                <w:rFonts w:ascii="Times New Roman" w:hAnsi="Times New Roman" w:cs="Times New Roman"/>
                <w:sz w:val="20"/>
                <w:szCs w:val="20"/>
                <w:lang w:val="en-US"/>
              </w:rPr>
            </w:pPr>
            <w:r w:rsidRPr="00212AEA">
              <w:rPr>
                <w:rFonts w:ascii="Times New Roman" w:hAnsi="Times New Roman" w:cs="Times New Roman"/>
                <w:sz w:val="20"/>
                <w:szCs w:val="20"/>
                <w:lang w:val="en-US"/>
              </w:rPr>
              <w:t>ATP</w:t>
            </w:r>
          </w:p>
          <w:p w:rsidR="002B6607" w:rsidRPr="00212AEA" w:rsidRDefault="002B6607" w:rsidP="0098663C">
            <w:pPr>
              <w:jc w:val="center"/>
              <w:rPr>
                <w:rFonts w:ascii="Times New Roman" w:hAnsi="Times New Roman" w:cs="Times New Roman"/>
                <w:sz w:val="20"/>
                <w:szCs w:val="20"/>
                <w:lang w:val="en-US"/>
              </w:rPr>
            </w:pPr>
            <w:r w:rsidRPr="00212AEA">
              <w:rPr>
                <w:rFonts w:ascii="Times New Roman" w:hAnsi="Times New Roman" w:cs="Times New Roman"/>
                <w:sz w:val="20"/>
                <w:szCs w:val="20"/>
                <w:lang w:val="en-US"/>
              </w:rPr>
              <w:t>cocaine</w:t>
            </w:r>
          </w:p>
        </w:tc>
        <w:tc>
          <w:tcPr>
            <w:tcW w:w="2835" w:type="dxa"/>
            <w:vAlign w:val="center"/>
          </w:tcPr>
          <w:p w:rsidR="002B6607" w:rsidRPr="00212AEA" w:rsidRDefault="002B6607" w:rsidP="0098663C">
            <w:pPr>
              <w:jc w:val="center"/>
              <w:rPr>
                <w:rFonts w:ascii="Times New Roman" w:hAnsi="Times New Roman" w:cs="Times New Roman"/>
                <w:sz w:val="20"/>
                <w:szCs w:val="20"/>
                <w:lang w:val="en-US"/>
              </w:rPr>
            </w:pPr>
            <w:proofErr w:type="spellStart"/>
            <w:r w:rsidRPr="00212AEA">
              <w:rPr>
                <w:rFonts w:ascii="Times New Roman" w:hAnsi="Times New Roman" w:cs="Times New Roman"/>
                <w:sz w:val="20"/>
                <w:szCs w:val="20"/>
                <w:lang w:val="en-US"/>
              </w:rPr>
              <w:t>iORi</w:t>
            </w:r>
            <w:proofErr w:type="spellEnd"/>
          </w:p>
          <w:p w:rsidR="002B6607" w:rsidRPr="00212AEA" w:rsidRDefault="002B6607" w:rsidP="0098663C">
            <w:pPr>
              <w:jc w:val="center"/>
              <w:rPr>
                <w:rFonts w:ascii="Times New Roman" w:hAnsi="Times New Roman" w:cs="Times New Roman"/>
                <w:sz w:val="20"/>
                <w:szCs w:val="20"/>
                <w:lang w:val="en-US"/>
              </w:rPr>
            </w:pPr>
            <w:proofErr w:type="spellStart"/>
            <w:r w:rsidRPr="00212AEA">
              <w:rPr>
                <w:rFonts w:ascii="Times New Roman" w:hAnsi="Times New Roman" w:cs="Times New Roman"/>
                <w:sz w:val="20"/>
                <w:szCs w:val="20"/>
                <w:lang w:val="en-US"/>
              </w:rPr>
              <w:t>iANDi</w:t>
            </w:r>
            <w:proofErr w:type="spellEnd"/>
          </w:p>
        </w:tc>
        <w:tc>
          <w:tcPr>
            <w:tcW w:w="2693" w:type="dxa"/>
            <w:vAlign w:val="center"/>
          </w:tcPr>
          <w:p w:rsidR="002B6607" w:rsidRPr="00212AEA" w:rsidRDefault="002B6607" w:rsidP="0098663C">
            <w:pPr>
              <w:jc w:val="center"/>
              <w:rPr>
                <w:rFonts w:ascii="Times New Roman" w:hAnsi="Times New Roman" w:cs="Times New Roman"/>
                <w:sz w:val="20"/>
                <w:szCs w:val="20"/>
                <w:lang w:val="en-US"/>
              </w:rPr>
            </w:pPr>
            <w:r w:rsidRPr="00212AEA">
              <w:rPr>
                <w:rFonts w:ascii="Times New Roman" w:hAnsi="Times New Roman" w:cs="Times New Roman"/>
                <w:sz w:val="20"/>
                <w:szCs w:val="20"/>
                <w:lang w:val="en-US"/>
              </w:rPr>
              <w:t xml:space="preserve">The use of a </w:t>
            </w:r>
            <w:proofErr w:type="spellStart"/>
            <w:r w:rsidRPr="00212AEA">
              <w:rPr>
                <w:rFonts w:ascii="Times New Roman" w:hAnsi="Times New Roman" w:cs="Times New Roman"/>
                <w:sz w:val="20"/>
                <w:szCs w:val="20"/>
                <w:lang w:val="en-US"/>
              </w:rPr>
              <w:t>bifunctional</w:t>
            </w:r>
            <w:proofErr w:type="spellEnd"/>
            <w:r w:rsidRPr="00212AEA">
              <w:rPr>
                <w:rFonts w:ascii="Times New Roman" w:hAnsi="Times New Roman" w:cs="Times New Roman"/>
                <w:sz w:val="20"/>
                <w:szCs w:val="20"/>
                <w:lang w:val="en-US"/>
              </w:rPr>
              <w:t xml:space="preserve"> aptamer; switching of an aptamer from </w:t>
            </w:r>
            <w:proofErr w:type="spellStart"/>
            <w:r w:rsidRPr="00212AEA">
              <w:rPr>
                <w:rFonts w:ascii="Times New Roman" w:hAnsi="Times New Roman" w:cs="Times New Roman"/>
                <w:sz w:val="20"/>
                <w:szCs w:val="20"/>
                <w:lang w:val="en-US"/>
              </w:rPr>
              <w:t>dsDNA</w:t>
            </w:r>
            <w:proofErr w:type="spellEnd"/>
            <w:r w:rsidRPr="00212AEA">
              <w:rPr>
                <w:rFonts w:ascii="Times New Roman" w:hAnsi="Times New Roman" w:cs="Times New Roman"/>
                <w:sz w:val="20"/>
                <w:szCs w:val="20"/>
                <w:lang w:val="en-US"/>
              </w:rPr>
              <w:t xml:space="preserve"> to a complex with a target</w:t>
            </w:r>
          </w:p>
        </w:tc>
        <w:tc>
          <w:tcPr>
            <w:tcW w:w="2127" w:type="dxa"/>
            <w:vAlign w:val="center"/>
          </w:tcPr>
          <w:p w:rsidR="002B6607" w:rsidRPr="00212AEA" w:rsidRDefault="002B6607" w:rsidP="0098663C">
            <w:pPr>
              <w:jc w:val="center"/>
              <w:rPr>
                <w:rFonts w:ascii="Times New Roman" w:hAnsi="Times New Roman" w:cs="Times New Roman"/>
                <w:sz w:val="20"/>
                <w:szCs w:val="20"/>
                <w:lang w:val="en-US"/>
              </w:rPr>
            </w:pPr>
            <w:r w:rsidRPr="00212AEA">
              <w:rPr>
                <w:rFonts w:ascii="Times New Roman" w:hAnsi="Times New Roman" w:cs="Times New Roman"/>
                <w:sz w:val="20"/>
                <w:szCs w:val="20"/>
                <w:lang w:val="en-US"/>
              </w:rPr>
              <w:t xml:space="preserve">Colorimetric signal from release of </w:t>
            </w:r>
            <w:proofErr w:type="spellStart"/>
            <w:r w:rsidRPr="00212AEA">
              <w:rPr>
                <w:rFonts w:ascii="Times New Roman" w:hAnsi="Times New Roman" w:cs="Times New Roman"/>
                <w:sz w:val="20"/>
                <w:szCs w:val="20"/>
                <w:lang w:val="en-US"/>
              </w:rPr>
              <w:t>AuNPs</w:t>
            </w:r>
            <w:proofErr w:type="spellEnd"/>
            <w:r w:rsidRPr="00212AEA">
              <w:rPr>
                <w:rFonts w:ascii="Times New Roman" w:hAnsi="Times New Roman" w:cs="Times New Roman"/>
                <w:sz w:val="20"/>
                <w:szCs w:val="20"/>
                <w:lang w:val="en-US"/>
              </w:rPr>
              <w:t xml:space="preserve"> (SPR)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25</w:t>
            </w:r>
          </w:p>
        </w:tc>
        <w:tc>
          <w:tcPr>
            <w:tcW w:w="1559" w:type="dxa"/>
            <w:vAlign w:val="center"/>
          </w:tcPr>
          <w:p w:rsidR="002B6607" w:rsidRPr="00591BD9" w:rsidRDefault="002B6607" w:rsidP="0098663C">
            <w:pPr>
              <w:pStyle w:val="MDPI31text"/>
              <w:ind w:firstLine="0"/>
              <w:jc w:val="center"/>
              <w:rPr>
                <w:rFonts w:ascii="Times New Roman" w:hAnsi="Times New Roman"/>
                <w:szCs w:val="20"/>
              </w:rPr>
            </w:pPr>
            <w:r w:rsidRPr="00591BD9">
              <w:rPr>
                <w:rFonts w:ascii="Times New Roman" w:hAnsi="Times New Roman"/>
                <w:lang w:eastAsia="zh-CN"/>
              </w:rPr>
              <w:fldChar w:fldCharType="begin" w:fldLock="1"/>
            </w:r>
            <w:r w:rsidRPr="00591BD9">
              <w:rPr>
                <w:rFonts w:ascii="Times New Roman" w:hAnsi="Times New Roman"/>
                <w:lang w:eastAsia="zh-CN"/>
              </w:rPr>
              <w:instrText>ADDIN CSL_CITATION { "citationItems" : [ { "id" : "ITEM-1", "itemData" : { "DOI" : "10.1039/c1cc15639j", "ISSN" : "1364548X", "PMID" : "22158758", "abstract" : "We have developed a novel molecular logic gate system based on the incorporation of aptamer-crosslinked hydrogels. Modified gold nanoparticles are used as the output signal, which is visible to the naked eye. This system is designed for AND and OR operations using two chemicals as stimulus inputs. \u00a9 2012 The Royal Society of Chemistry.", "author" : [ { "dropping-particle" : "", "family" : "Yin", "given" : "Bin Cheng", "non-dropping-particle" : "", "parse-names" : false, "suffix" : "" }, { "dropping-particle" : "", "family" : "Ye", "given" : "Bang Ce", "non-dropping-particle" : "", "parse-names" : false, "suffix" : "" }, { "dropping-particle" : "", "family" : "Wang", "given" : "Hui", "non-dropping-particle" : "", "parse-names" : false, "suffix" : "" }, { "dropping-particle" : "", "family" : "Zhu", "given" : "Zhi", "non-dropping-particle" : "", "parse-names" : false, "suffix" : "" }, { "dropping-particle" : "", "family" : "Tan", "given" : "Weihong", "non-dropping-particle" : "", "parse-names" : false, "suffix" : "" } ], "container-title" : "Chemical Communications", "id" : "ITEM-1", "issue" : "9", "issued" : { "date-parts" : [ [ "2012" ] ] }, "page" : "1248-1250", "title" : "Colorimetric logic gates based on aptamer-crosslinked hydrogels", "type" : "article-journal", "volume" : "48" }, "uris" : [ "http://www.mendeley.com/documents/?uuid=f714f69c-a923-4cf1-8cf2-d95dc5778a4a" ] } ], "mendeley" : { "formattedCitation" : "[20]", "plainTextFormattedCitation" : "[20]", "previouslyFormattedCitation" : "[20]" }, "properties" : { "noteIndex" : 0 }, "schema" : "https://github.com/citation-style-language/schema/raw/master/csl-citation.json" }</w:instrText>
            </w:r>
            <w:r w:rsidRPr="00591BD9">
              <w:rPr>
                <w:rFonts w:ascii="Times New Roman" w:hAnsi="Times New Roman"/>
                <w:lang w:eastAsia="zh-CN"/>
              </w:rPr>
              <w:fldChar w:fldCharType="separate"/>
            </w:r>
            <w:r w:rsidRPr="00591BD9">
              <w:rPr>
                <w:rFonts w:ascii="Times New Roman" w:hAnsi="Times New Roman"/>
                <w:noProof/>
                <w:lang w:eastAsia="zh-CN"/>
              </w:rPr>
              <w:t>[20]</w:t>
            </w:r>
            <w:r w:rsidRPr="00591BD9">
              <w:rPr>
                <w:rFonts w:ascii="Times New Roman" w:hAnsi="Times New Roman"/>
                <w:lang w:eastAsia="zh-CN"/>
              </w:rPr>
              <w:fldChar w:fldCharType="end"/>
            </w:r>
          </w:p>
        </w:tc>
      </w:tr>
      <w:tr w:rsidR="002B6607" w:rsidRPr="000E5080" w:rsidTr="0098663C">
        <w:tc>
          <w:tcPr>
            <w:tcW w:w="1951" w:type="dxa"/>
            <w:vAlign w:val="center"/>
          </w:tcPr>
          <w:p w:rsidR="002B6607" w:rsidRDefault="002B6607" w:rsidP="0098663C">
            <w:pPr>
              <w:jc w:val="center"/>
              <w:rPr>
                <w:rFonts w:ascii="Times New Roman" w:hAnsi="Times New Roman" w:cs="Times New Roman"/>
                <w:sz w:val="20"/>
                <w:szCs w:val="20"/>
                <w:lang w:val="en-US"/>
              </w:rPr>
            </w:pPr>
            <w:r w:rsidRPr="00231DE1">
              <w:rPr>
                <w:rFonts w:ascii="Times New Roman" w:hAnsi="Times New Roman" w:cs="Times New Roman"/>
                <w:sz w:val="20"/>
                <w:szCs w:val="20"/>
                <w:lang w:val="en-US"/>
              </w:rPr>
              <w:t>Hg</w:t>
            </w:r>
            <w:r w:rsidRPr="00231DE1">
              <w:rPr>
                <w:rFonts w:ascii="Times New Roman" w:hAnsi="Times New Roman" w:cs="Times New Roman"/>
                <w:sz w:val="20"/>
                <w:szCs w:val="20"/>
                <w:vertAlign w:val="superscript"/>
                <w:lang w:val="en-US"/>
              </w:rPr>
              <w:t>2+</w:t>
            </w:r>
            <w:r>
              <w:rPr>
                <w:rFonts w:ascii="Times New Roman" w:hAnsi="Times New Roman" w:cs="Times New Roman"/>
                <w:sz w:val="20"/>
                <w:szCs w:val="20"/>
                <w:lang w:val="en-US"/>
              </w:rPr>
              <w:t xml:space="preserve"> ions</w:t>
            </w:r>
          </w:p>
          <w:p w:rsidR="002B6607" w:rsidRPr="00231DE1" w:rsidRDefault="002B6607" w:rsidP="0098663C">
            <w:pPr>
              <w:jc w:val="center"/>
              <w:rPr>
                <w:rFonts w:ascii="Times New Roman" w:hAnsi="Times New Roman" w:cs="Times New Roman"/>
                <w:sz w:val="20"/>
                <w:szCs w:val="20"/>
                <w:lang w:val="en-US"/>
              </w:rPr>
            </w:pPr>
            <w:r w:rsidRPr="00231DE1">
              <w:rPr>
                <w:rFonts w:ascii="Times New Roman" w:hAnsi="Times New Roman" w:cs="Times New Roman"/>
                <w:sz w:val="20"/>
                <w:szCs w:val="20"/>
                <w:lang w:val="en-US"/>
              </w:rPr>
              <w:t>Ag</w:t>
            </w:r>
            <w:r w:rsidRPr="00231DE1">
              <w:rPr>
                <w:rFonts w:ascii="Times New Roman" w:hAnsi="Times New Roman" w:cs="Times New Roman"/>
                <w:sz w:val="20"/>
                <w:szCs w:val="20"/>
                <w:vertAlign w:val="superscript"/>
                <w:lang w:val="en-US"/>
              </w:rPr>
              <w:t>+</w:t>
            </w:r>
            <w:r>
              <w:rPr>
                <w:rFonts w:ascii="Times New Roman" w:hAnsi="Times New Roman" w:cs="Times New Roman"/>
                <w:sz w:val="20"/>
                <w:szCs w:val="20"/>
                <w:lang w:val="en-US"/>
              </w:rPr>
              <w:t xml:space="preserve"> ions</w:t>
            </w:r>
          </w:p>
        </w:tc>
        <w:tc>
          <w:tcPr>
            <w:tcW w:w="2835" w:type="dxa"/>
            <w:vAlign w:val="center"/>
          </w:tcPr>
          <w:p w:rsidR="002B6607" w:rsidRPr="00212AEA" w:rsidRDefault="002B6607" w:rsidP="0098663C">
            <w:pPr>
              <w:jc w:val="center"/>
              <w:rPr>
                <w:rFonts w:ascii="Times New Roman" w:hAnsi="Times New Roman" w:cs="Times New Roman"/>
                <w:sz w:val="20"/>
                <w:szCs w:val="20"/>
                <w:lang w:val="en-US"/>
              </w:rPr>
            </w:pPr>
            <w:proofErr w:type="spellStart"/>
            <w:r w:rsidRPr="00212AEA">
              <w:rPr>
                <w:rFonts w:ascii="Times New Roman" w:hAnsi="Times New Roman" w:cs="Times New Roman"/>
                <w:sz w:val="20"/>
                <w:szCs w:val="20"/>
                <w:lang w:val="en-US"/>
              </w:rPr>
              <w:t>iORi</w:t>
            </w:r>
            <w:proofErr w:type="spellEnd"/>
          </w:p>
          <w:p w:rsidR="002B6607" w:rsidRPr="007F3EFC" w:rsidRDefault="002B6607" w:rsidP="0098663C">
            <w:pPr>
              <w:jc w:val="center"/>
              <w:rPr>
                <w:rFonts w:ascii="Times New Roman" w:hAnsi="Times New Roman" w:cs="Times New Roman"/>
                <w:sz w:val="20"/>
                <w:szCs w:val="20"/>
                <w:lang w:val="en-US"/>
              </w:rPr>
            </w:pPr>
            <w:proofErr w:type="spellStart"/>
            <w:r w:rsidRPr="00212AEA">
              <w:rPr>
                <w:rFonts w:ascii="Times New Roman" w:hAnsi="Times New Roman" w:cs="Times New Roman"/>
                <w:sz w:val="20"/>
                <w:szCs w:val="20"/>
                <w:lang w:val="en-US"/>
              </w:rPr>
              <w:t>iANDi</w:t>
            </w:r>
            <w:proofErr w:type="spellEnd"/>
          </w:p>
        </w:tc>
        <w:tc>
          <w:tcPr>
            <w:tcW w:w="2693" w:type="dxa"/>
            <w:vAlign w:val="center"/>
          </w:tcPr>
          <w:p w:rsidR="002B6607" w:rsidRPr="00F56F2B" w:rsidRDefault="002B6607" w:rsidP="0098663C">
            <w:pPr>
              <w:jc w:val="center"/>
              <w:rPr>
                <w:rFonts w:ascii="Times New Roman" w:hAnsi="Times New Roman" w:cs="Times New Roman"/>
                <w:sz w:val="20"/>
                <w:szCs w:val="20"/>
                <w:lang w:val="en-US"/>
              </w:rPr>
            </w:pPr>
            <w:r w:rsidRPr="000E5080">
              <w:rPr>
                <w:rFonts w:ascii="Times New Roman" w:hAnsi="Times New Roman" w:cs="Times New Roman"/>
                <w:sz w:val="20"/>
                <w:szCs w:val="20"/>
                <w:lang w:val="en-US"/>
              </w:rPr>
              <w:t>Formation of a complex of an aptamer with a target</w:t>
            </w:r>
          </w:p>
        </w:tc>
        <w:tc>
          <w:tcPr>
            <w:tcW w:w="2127" w:type="dxa"/>
            <w:vAlign w:val="center"/>
          </w:tcPr>
          <w:p w:rsidR="002B6607" w:rsidRPr="000E5080" w:rsidRDefault="002B6607" w:rsidP="0098663C">
            <w:pPr>
              <w:jc w:val="center"/>
              <w:rPr>
                <w:rFonts w:ascii="Times New Roman" w:hAnsi="Times New Roman" w:cs="Times New Roman"/>
                <w:sz w:val="20"/>
                <w:szCs w:val="20"/>
                <w:lang w:val="en-US"/>
              </w:rPr>
            </w:pPr>
            <w:r w:rsidRPr="00212AEA">
              <w:rPr>
                <w:rFonts w:ascii="Times New Roman" w:hAnsi="Times New Roman" w:cs="Times New Roman"/>
                <w:sz w:val="20"/>
                <w:szCs w:val="20"/>
                <w:lang w:val="en-US"/>
              </w:rPr>
              <w:t>Colorimetric signal</w:t>
            </w:r>
            <w:r>
              <w:rPr>
                <w:rFonts w:ascii="Times New Roman" w:hAnsi="Times New Roman" w:cs="Times New Roman"/>
                <w:sz w:val="20"/>
                <w:szCs w:val="20"/>
                <w:lang w:val="en-US"/>
              </w:rPr>
              <w:t xml:space="preserve"> from </w:t>
            </w:r>
            <w:proofErr w:type="spellStart"/>
            <w:r>
              <w:rPr>
                <w:rFonts w:ascii="Times New Roman" w:hAnsi="Times New Roman" w:cs="Times New Roman"/>
                <w:sz w:val="20"/>
                <w:szCs w:val="20"/>
                <w:lang w:val="en-US"/>
              </w:rPr>
              <w:t>SiNPs</w:t>
            </w:r>
            <w:proofErr w:type="spellEnd"/>
            <w:r>
              <w:rPr>
                <w:rFonts w:ascii="Times New Roman" w:hAnsi="Times New Roman" w:cs="Times New Roman"/>
                <w:sz w:val="20"/>
                <w:szCs w:val="20"/>
                <w:lang w:val="en-US"/>
              </w:rPr>
              <w:t xml:space="preserve"> (structural color)</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Not defined</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"10.1039/c5nr00586h", "ISSN" : "20403372", "abstract" : "A novel colorimetric logic system based on the aptamer-cross-linked colloidal crystal hydrogel (CCH) was developed. With the input stimuli of Hg2+ and Ag+, the CCH displayed shrinking response and colour change corresponding to the logical \"OR\" and \"AND\" gate. The visualization of the logic output signals is realized.", "author" : [ { "dropping-particle" : "", "family" : "Ye", "given" : "Baofen", "non-dropping-particle" : "", "parse-names" : false, "suffix" : "" }, { "dropping-particle" : "", "family" : "Wang", "given" : "Huan", "non-dropping-particle" : "", "parse-names" : false, "suffix" : "" }, { "dropping-particle" : "", "family" : "Ding", "given" : "Haibo", "non-dropping-particle" : "", "parse-names" : false, "suffix" : "" }, { "dropping-particle" : "", "family" : "Zhao", "given" : "Yuanjin", "non-dropping-particle" : "", "parse-names" : false, "suffix" : "" }, { "dropping-particle" : "", "family" : "Pu", "given" : "Yuepu", "non-dropping-particle" : "", "parse-names" : false, "suffix" : "" }, { "dropping-particle" : "", "family" : "Gu", "given" : "Zhongze", "non-dropping-particle" : "", "parse-names" : false, "suffix" : "" } ], "container-title" : "Nanoscale", "id" : "ITEM-1", "issue" : "17", "issued" : { "date-parts" : [ [ "2015" ] ] }, "page" : "7565-7568", "title" : "Colorimetric logic response based on aptamer functionalized colloidal crystal hydrogels", "type" : "article-journal", "volume" : "7" }, "uris" : [ "http://www.mendeley.com/documents/?uuid=63923bd1-c20f-444d-8591-51e3957ef7f2" ] } ], "mendeley" : { "formattedCitation" : "[21]", "plainTextFormattedCitation" : "[21]", "previouslyFormattedCitation" : "[21]"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[21]</w:t>
            </w:r>
            <w:r w:rsidRPr="00591BD9">
              <w:rPr>
                <w:rFonts w:ascii="Times New Roman" w:hAnsi="Times New Roman" w:cs="Times New Roman"/>
                <w:sz w:val="20"/>
                <w:szCs w:val="20"/>
                <w:lang w:val="en-US"/>
              </w:rPr>
              <w:fldChar w:fldCharType="end"/>
            </w:r>
          </w:p>
        </w:tc>
      </w:tr>
      <w:tr w:rsidR="002B6607" w:rsidRPr="000E5080" w:rsidTr="0098663C">
        <w:trPr>
          <w:trHeight w:val="496"/>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 xml:space="preserve">Logical gates based on </w:t>
            </w:r>
            <w:proofErr w:type="spellStart"/>
            <w:r w:rsidRPr="00591BD9">
              <w:rPr>
                <w:rFonts w:ascii="Times New Roman" w:hAnsi="Times New Roman" w:cs="Times New Roman"/>
                <w:b/>
                <w:sz w:val="20"/>
                <w:szCs w:val="20"/>
                <w:lang w:val="en-US"/>
              </w:rPr>
              <w:t>graphene</w:t>
            </w:r>
            <w:proofErr w:type="spellEnd"/>
            <w:r w:rsidRPr="00591BD9">
              <w:rPr>
                <w:rFonts w:ascii="Times New Roman" w:hAnsi="Times New Roman" w:cs="Times New Roman"/>
                <w:b/>
                <w:sz w:val="20"/>
                <w:szCs w:val="20"/>
                <w:lang w:val="en-US"/>
              </w:rPr>
              <w:t xml:space="preserve"> oxide</w:t>
            </w:r>
          </w:p>
        </w:tc>
      </w:tr>
      <w:tr w:rsidR="002B6607" w:rsidRPr="007D117F" w:rsidTr="0098663C">
        <w:tc>
          <w:tcPr>
            <w:tcW w:w="1951"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ATP</w:t>
            </w:r>
          </w:p>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lastRenderedPageBreak/>
              <w:t>Thrombin</w:t>
            </w:r>
          </w:p>
          <w:p w:rsidR="002B6607" w:rsidRPr="007D117F" w:rsidRDefault="002B6607" w:rsidP="0098663C">
            <w:pPr>
              <w:jc w:val="center"/>
              <w:rPr>
                <w:rFonts w:ascii="Times New Roman" w:hAnsi="Times New Roman" w:cs="Times New Roman"/>
                <w:i/>
                <w:sz w:val="20"/>
                <w:szCs w:val="20"/>
                <w:lang w:val="en-US"/>
              </w:rPr>
            </w:pPr>
            <w:r w:rsidRPr="007D117F">
              <w:rPr>
                <w:rFonts w:ascii="Times New Roman" w:hAnsi="Times New Roman" w:cs="Times New Roman"/>
                <w:i/>
                <w:sz w:val="20"/>
                <w:szCs w:val="20"/>
                <w:lang w:val="en-US"/>
              </w:rPr>
              <w:t>Aptamer against thrombin</w:t>
            </w:r>
          </w:p>
          <w:p w:rsidR="002B6607" w:rsidRPr="003A29EE"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i/>
                <w:sz w:val="20"/>
                <w:szCs w:val="20"/>
                <w:lang w:val="en-US"/>
              </w:rPr>
              <w:t>Aptamer against ATP</w:t>
            </w:r>
          </w:p>
        </w:tc>
        <w:tc>
          <w:tcPr>
            <w:tcW w:w="2835" w:type="dxa"/>
            <w:vAlign w:val="center"/>
          </w:tcPr>
          <w:p w:rsidR="002B6607" w:rsidRPr="007D117F" w:rsidRDefault="002B6607" w:rsidP="0098663C">
            <w:pPr>
              <w:jc w:val="center"/>
              <w:rPr>
                <w:rFonts w:ascii="Times New Roman" w:hAnsi="Times New Roman" w:cs="Times New Roman"/>
                <w:sz w:val="20"/>
                <w:szCs w:val="20"/>
                <w:lang w:val="en-US"/>
              </w:rPr>
            </w:pPr>
            <w:proofErr w:type="spellStart"/>
            <w:r w:rsidRPr="007D117F">
              <w:rPr>
                <w:rFonts w:ascii="Times New Roman" w:hAnsi="Times New Roman" w:cs="Times New Roman"/>
                <w:sz w:val="20"/>
                <w:szCs w:val="20"/>
                <w:lang w:val="en-US"/>
              </w:rPr>
              <w:lastRenderedPageBreak/>
              <w:t>iINHIBITi</w:t>
            </w:r>
            <w:proofErr w:type="spellEnd"/>
          </w:p>
          <w:p w:rsidR="002B6607" w:rsidRPr="007D117F" w:rsidRDefault="002B6607" w:rsidP="0098663C">
            <w:pPr>
              <w:jc w:val="center"/>
              <w:rPr>
                <w:rFonts w:ascii="Times New Roman" w:hAnsi="Times New Roman" w:cs="Times New Roman"/>
                <w:sz w:val="20"/>
                <w:szCs w:val="20"/>
                <w:lang w:val="en-US"/>
              </w:rPr>
            </w:pPr>
            <w:proofErr w:type="spellStart"/>
            <w:r w:rsidRPr="007D117F">
              <w:rPr>
                <w:rFonts w:ascii="Times New Roman" w:hAnsi="Times New Roman" w:cs="Times New Roman"/>
                <w:sz w:val="20"/>
                <w:szCs w:val="20"/>
                <w:lang w:val="en-US"/>
              </w:rPr>
              <w:lastRenderedPageBreak/>
              <w:t>iORi</w:t>
            </w:r>
            <w:proofErr w:type="spellEnd"/>
          </w:p>
        </w:tc>
        <w:tc>
          <w:tcPr>
            <w:tcW w:w="2693" w:type="dxa"/>
            <w:vAlign w:val="center"/>
          </w:tcPr>
          <w:p w:rsidR="002B6607" w:rsidRPr="007D117F" w:rsidRDefault="002B6607" w:rsidP="0098663C">
            <w:pPr>
              <w:jc w:val="center"/>
              <w:rPr>
                <w:rFonts w:ascii="Times New Roman" w:hAnsi="Times New Roman" w:cs="Times New Roman"/>
                <w:sz w:val="20"/>
                <w:szCs w:val="20"/>
                <w:highlight w:val="green"/>
                <w:lang w:val="en-US"/>
              </w:rPr>
            </w:pPr>
            <w:r w:rsidRPr="007D117F">
              <w:rPr>
                <w:rFonts w:ascii="Times New Roman" w:hAnsi="Times New Roman" w:cs="Times New Roman"/>
                <w:sz w:val="20"/>
                <w:szCs w:val="20"/>
                <w:lang w:val="en-US"/>
              </w:rPr>
              <w:lastRenderedPageBreak/>
              <w:t xml:space="preserve">Switching of an aptamer from </w:t>
            </w:r>
            <w:r w:rsidRPr="007D117F">
              <w:rPr>
                <w:rFonts w:ascii="Times New Roman" w:hAnsi="Times New Roman" w:cs="Times New Roman"/>
                <w:sz w:val="20"/>
                <w:szCs w:val="20"/>
                <w:lang w:val="en-US"/>
              </w:rPr>
              <w:lastRenderedPageBreak/>
              <w:t>grapheme surface to a complex with a target</w:t>
            </w:r>
          </w:p>
        </w:tc>
        <w:tc>
          <w:tcPr>
            <w:tcW w:w="2127"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lastRenderedPageBreak/>
              <w:t>Fluorescence (FAM)</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rPr>
              <w:t>30</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"10.1021/nn300997f", "ISSN" : "19360851", "PMID" : "22823159", "abstract" : "In this work, a GO/aptamer system was constructed to create multiplex logic operations and enable sensing of multiplex targets. 6-Carboxyfluorescein (FAM)-labeled adenosine triphosphate binding aptamer (ABA) and FAM-labeled thrombin binding aptamer (TBA) were first adsorbed onto graphene oxide (GO) to form a GO/aptamer complex, leading to the quenching of the fluorescence of FAM. We demonstrated that the unique GO/aptamer interaction and the specific aptamer-target recognition in the target/GO/aptamer system were programmable and could be utilized to regulate the fluorescence of FAM via OR and INHIBIT logic gates. The fluorescence changed according to different input combinations, and the integration of OR and INHIBIT logic gates provided an interesting approach for logic sensing applications where multiple target molecules were present. High-throughput fluorescence imagings that enabled the simultaneous processing of many samples by using the combinatorial logic gates were realized. The developed logic gates may find applications in further development of DNA circuits and advanced sensors for the identification of multiple targets in complex chemical environments. \u00a9 2012 American Chemical Society.", "author" : [ { "dropping-particle" : "", "family" : "Wang", "given" : "Li", "non-dropping-particle" : "", "parse-names" : false, "suffix" : "" }, { "dropping-particle" : "", "family" : "Zhu", "given" : "Jinbo", "non-dropping-particle" : "", "parse-names" : false, "suffix" : "" }, { "dropping-particle" : "", "family" : "Han", "given" : "Lei", "non-dropping-particle" : "", "parse-names" : false, "suffix" : "" }, { "dropping-particle" : "", "family" : "Jin", "given" : "Lihua", "non-dropping-particle" : "", "parse-names" : false, "suffix" : "" }, { "dropping-particle" : "", "family" : "Zhu", "given" : "Chengzhou", "non-dropping-particle" : "", "parse-names" : false, "suffix" : "" }, { "dropping-particle" : "", "family" : "Wang", "given" : "Erkang", "non-dropping-particle" : "", "parse-names" : false, "suffix" : "" }, { "dropping-particle" : "", "family" : "Dong", "given" : "Shaojun", "non-dropping-particle" : "", "parse-names" : false, "suffix" : "" } ], "container-title" : "ACS Nano", "id" : "ITEM-1", "issue" : "8", "issued" : { "date-parts" : [ [ "2012" ] ] }, "page" : "6659-6666", "title" : "Graphene-based aptamer logic gates and their application to multiplex detection", "type" : "article-journal", "volume" : "6" }, "uris" : [ "http://www.mendeley.com/documents/?uuid=8f6b4292-b988-48ae-8607-d5a5441faad0" ] } ], "mendeley" : { "formattedCitation" : "[22]", "plainTextFormattedCitation" : "[22]", "previouslyFormattedCitation" : "[22]"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[22]</w:t>
            </w:r>
            <w:r w:rsidRPr="00591BD9">
              <w:rPr>
                <w:rFonts w:ascii="Times New Roman" w:hAnsi="Times New Roman" w:cs="Times New Roman"/>
                <w:sz w:val="20"/>
                <w:szCs w:val="20"/>
                <w:lang w:val="en-US"/>
              </w:rPr>
              <w:fldChar w:fldCharType="end"/>
            </w:r>
          </w:p>
        </w:tc>
      </w:tr>
      <w:tr w:rsidR="002B6607" w:rsidRPr="007D117F" w:rsidTr="0098663C">
        <w:tc>
          <w:tcPr>
            <w:tcW w:w="1951"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lastRenderedPageBreak/>
              <w:t>ATP</w:t>
            </w:r>
          </w:p>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Thrombin</w:t>
            </w:r>
          </w:p>
        </w:tc>
        <w:tc>
          <w:tcPr>
            <w:tcW w:w="2835" w:type="dxa"/>
            <w:vAlign w:val="center"/>
          </w:tcPr>
          <w:p w:rsidR="002B6607" w:rsidRPr="007D117F" w:rsidRDefault="002B6607" w:rsidP="0098663C">
            <w:pPr>
              <w:jc w:val="center"/>
              <w:rPr>
                <w:rFonts w:ascii="Times New Roman" w:hAnsi="Times New Roman" w:cs="Times New Roman"/>
                <w:sz w:val="20"/>
                <w:szCs w:val="20"/>
              </w:rPr>
            </w:pPr>
            <w:proofErr w:type="spellStart"/>
            <w:r w:rsidRPr="007D117F">
              <w:rPr>
                <w:rFonts w:ascii="Times New Roman" w:hAnsi="Times New Roman" w:cs="Times New Roman"/>
                <w:sz w:val="20"/>
                <w:szCs w:val="20"/>
                <w:lang w:val="en-US"/>
              </w:rPr>
              <w:t>iANDi</w:t>
            </w:r>
            <w:proofErr w:type="spellEnd"/>
          </w:p>
        </w:tc>
        <w:tc>
          <w:tcPr>
            <w:tcW w:w="2693"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Formation of a complex of an aptamer with a target</w:t>
            </w:r>
          </w:p>
        </w:tc>
        <w:tc>
          <w:tcPr>
            <w:tcW w:w="2127" w:type="dxa"/>
            <w:vAlign w:val="center"/>
          </w:tcPr>
          <w:p w:rsidR="002B6607" w:rsidRPr="007D117F" w:rsidRDefault="002B6607" w:rsidP="0098663C">
            <w:pPr>
              <w:jc w:val="center"/>
              <w:rPr>
                <w:rFonts w:ascii="Times New Roman" w:hAnsi="Times New Roman" w:cs="Times New Roman"/>
                <w:sz w:val="20"/>
                <w:szCs w:val="20"/>
              </w:rPr>
            </w:pPr>
            <w:r w:rsidRPr="007D117F">
              <w:rPr>
                <w:rFonts w:ascii="Times New Roman" w:hAnsi="Times New Roman" w:cs="Times New Roman"/>
                <w:sz w:val="20"/>
                <w:szCs w:val="20"/>
                <w:lang w:val="en-US"/>
              </w:rPr>
              <w:t>Fluorescence (FAM, ROX)</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t>150 (time of fluorescence recording</w:t>
            </w:r>
            <w:r w:rsidRPr="00591BD9">
              <w:rPr>
                <w:rFonts w:ascii="Times New Roman" w:hAnsi="Times New Roman" w:cs="Times New Roman"/>
                <w:sz w:val="20"/>
                <w:szCs w:val="20"/>
              </w:rPr>
              <w:t>)</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fldChar w:fldCharType="begin" w:fldLock="1"/>
            </w:r>
            <w:r w:rsidRPr="00591BD9">
              <w:rPr>
                <w:rFonts w:ascii="Times New Roman" w:hAnsi="Times New Roman" w:cs="Times New Roman"/>
                <w:sz w:val="20"/>
                <w:szCs w:val="20"/>
              </w:rPr>
              <w:instrText>ADDIN CSL_CITATION { "citationItems" : [ { "id" : "ITEM-1", "itemData" : { "DOI" : "10.1021/nn300598q", "ISSN" : "19360851", "PMID" : "22404375", "abstract" : "Graphene oxide (GO) is implemented as a functional matrix for developing fluorescent sensors for the amplified multiplexed detection of DNA, aptamer-substrate complexes, and for the integration of predesigned DNA constructs that activate logic gate operations. Fluorophore-labeled DNA strands acting as probes for two different DNA targets are adsorbed onto GO, leading to the quenching of the luminescence of the fluorophores. Desorption of the probes from the GO, through hybridization with the target DNAs, leads to the fluorescence of the respective label. By coupling exonuclease III, Exo III, to the system, the recycling of the target DNAs is demonstrated, and this leads to the amplified detection of the DNA targets (detection limit 5 \u00d7 10 -12 M). Similarly, adsorption of fluorophore-functionalized aptamers against thrombin or ATP onto the GO leads to the desorption of the aptamer-substrate complexes from GO and to the triggering of the luminescence corresponding to the respective fluorophore, thus, allowing the multiplexed analysis of the aptamer-substrate complexes. By designing functional fluorophore-labeled DNA constructs and their interaction with GO, in the presence (or absence) of nucleic acids, or two different substrates for aptamers, as inputs, the activation of the \"OR\" and \"AND\" logic gates is demonstrated. \u00a9 2012 American Chemical Society.", "author" : [ { "dropping-particle" : "", "family" : "Liu", "given" : "Xiaoqing", "non-dropping-particle" : "", "parse-names" : false, "suffix" : "" }, { "dropping-particle" : "", "family" : "Aizen", "given" : "Ruth", "non-dropping-particle" : "", "parse-names" : false, "suffix" : "" }, { "dropping-particle" : "", "family" : "Freeman", "given" : "Ronit", "non-dropping-particle" : "", "parse-names" : false, "suffix" : "" }, { "dropping-particle" : "", "family" : "Yehezkeli", "given" : "Omer", "non-dropping-particle" : "", "parse-names" : false, "suffix" : "" }, { "dropping-particle" : "", "family" : "Willner", "given" : "Itamar", "non-dropping-particle" : "", "parse-names" : false, "suffix" : "" } ], "container-title" : "ACS Nano", "id" : "ITEM-1", "issue" : "4", "issued" : { "date-parts" : [ [ "2012" ] ] }, "page" : "3553-3563", "title" : "Multiplexed aptasensors and amplified dna sensors using functionalized graphene oxide: Application for logic gate operations", "type" : "article-journal", "volume" : "6" }, "uris" : [ "http://www.mendeley.com/documents/?uuid=e3654f4d-abd6-4a53-af92-07ac4ead7eb2" ] } ], "mendeley" : { "formattedCitation" : "[23]", "plainTextFormattedCitation" : "[23]", "previouslyFormattedCitation" : "[23]" }, "properties" : { "noteIndex" : 0 }, "schema" : "https://github.com/citation-style-language/schema/raw/master/csl-citation.json" }</w:instrText>
            </w:r>
            <w:r w:rsidRPr="00591BD9">
              <w:rPr>
                <w:rFonts w:ascii="Times New Roman" w:hAnsi="Times New Roman" w:cs="Times New Roman"/>
                <w:sz w:val="20"/>
                <w:szCs w:val="20"/>
              </w:rPr>
              <w:fldChar w:fldCharType="separate"/>
            </w:r>
            <w:r w:rsidRPr="00591BD9">
              <w:rPr>
                <w:rFonts w:ascii="Times New Roman" w:hAnsi="Times New Roman" w:cs="Times New Roman"/>
                <w:noProof/>
                <w:sz w:val="20"/>
                <w:szCs w:val="20"/>
              </w:rPr>
              <w:t>[23]</w:t>
            </w:r>
            <w:r w:rsidRPr="00591BD9">
              <w:rPr>
                <w:rFonts w:ascii="Times New Roman" w:hAnsi="Times New Roman" w:cs="Times New Roman"/>
                <w:sz w:val="20"/>
                <w:szCs w:val="20"/>
              </w:rPr>
              <w:fldChar w:fldCharType="end"/>
            </w:r>
          </w:p>
        </w:tc>
      </w:tr>
      <w:tr w:rsidR="002B6607" w:rsidRPr="007D117F" w:rsidTr="0098663C">
        <w:tc>
          <w:tcPr>
            <w:tcW w:w="1951"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Thrombin</w:t>
            </w:r>
          </w:p>
          <w:p w:rsidR="002B6607" w:rsidRPr="007D117F" w:rsidRDefault="002B6607" w:rsidP="0098663C">
            <w:pPr>
              <w:jc w:val="center"/>
              <w:rPr>
                <w:rFonts w:ascii="Times New Roman" w:hAnsi="Times New Roman" w:cs="Times New Roman"/>
                <w:sz w:val="20"/>
                <w:szCs w:val="20"/>
              </w:rPr>
            </w:pPr>
            <w:r w:rsidRPr="007D117F">
              <w:rPr>
                <w:rFonts w:ascii="Times New Roman" w:hAnsi="Times New Roman" w:cs="Times New Roman"/>
                <w:sz w:val="20"/>
                <w:szCs w:val="20"/>
                <w:lang w:val="en-US"/>
              </w:rPr>
              <w:t>PDGF</w:t>
            </w:r>
            <w:r w:rsidRPr="007D117F">
              <w:rPr>
                <w:rFonts w:ascii="Times New Roman" w:hAnsi="Times New Roman" w:cs="Times New Roman"/>
                <w:sz w:val="20"/>
                <w:szCs w:val="20"/>
              </w:rPr>
              <w:t>-</w:t>
            </w:r>
            <w:r w:rsidRPr="007D117F">
              <w:rPr>
                <w:rFonts w:ascii="Times New Roman" w:hAnsi="Times New Roman" w:cs="Times New Roman"/>
                <w:sz w:val="20"/>
                <w:szCs w:val="20"/>
                <w:lang w:val="en-US"/>
              </w:rPr>
              <w:t>BB</w:t>
            </w:r>
          </w:p>
          <w:p w:rsidR="002B6607" w:rsidRPr="007D117F" w:rsidRDefault="002B6607" w:rsidP="0098663C">
            <w:pPr>
              <w:jc w:val="center"/>
              <w:rPr>
                <w:rFonts w:ascii="Times New Roman" w:hAnsi="Times New Roman" w:cs="Times New Roman"/>
                <w:i/>
                <w:sz w:val="20"/>
                <w:szCs w:val="20"/>
              </w:rPr>
            </w:pPr>
            <w:proofErr w:type="spellStart"/>
            <w:r w:rsidRPr="007D117F">
              <w:rPr>
                <w:rFonts w:ascii="Times New Roman" w:hAnsi="Times New Roman" w:cs="Times New Roman"/>
                <w:i/>
                <w:sz w:val="20"/>
                <w:szCs w:val="20"/>
                <w:lang w:val="en-US"/>
              </w:rPr>
              <w:t>ssDNA</w:t>
            </w:r>
            <w:proofErr w:type="spellEnd"/>
          </w:p>
        </w:tc>
        <w:tc>
          <w:tcPr>
            <w:tcW w:w="2835" w:type="dxa"/>
            <w:vAlign w:val="center"/>
          </w:tcPr>
          <w:p w:rsidR="002B6607" w:rsidRPr="007D117F" w:rsidRDefault="002B6607" w:rsidP="0098663C">
            <w:pPr>
              <w:jc w:val="center"/>
              <w:rPr>
                <w:rFonts w:ascii="Times New Roman" w:hAnsi="Times New Roman" w:cs="Times New Roman"/>
                <w:sz w:val="20"/>
                <w:szCs w:val="20"/>
              </w:rPr>
            </w:pPr>
            <w:proofErr w:type="spellStart"/>
            <w:r w:rsidRPr="007D117F">
              <w:rPr>
                <w:rFonts w:ascii="Times New Roman" w:hAnsi="Times New Roman" w:cs="Times New Roman"/>
                <w:sz w:val="20"/>
                <w:szCs w:val="20"/>
                <w:lang w:val="en-US"/>
              </w:rPr>
              <w:t>iORi</w:t>
            </w:r>
            <w:proofErr w:type="spellEnd"/>
          </w:p>
          <w:p w:rsidR="002B6607" w:rsidRPr="007D117F" w:rsidRDefault="002B6607" w:rsidP="0098663C">
            <w:pPr>
              <w:jc w:val="center"/>
              <w:rPr>
                <w:rFonts w:ascii="Times New Roman" w:hAnsi="Times New Roman" w:cs="Times New Roman"/>
                <w:sz w:val="20"/>
                <w:szCs w:val="20"/>
              </w:rPr>
            </w:pPr>
            <w:proofErr w:type="spellStart"/>
            <w:r w:rsidRPr="007D117F">
              <w:rPr>
                <w:rFonts w:ascii="Times New Roman" w:hAnsi="Times New Roman" w:cs="Times New Roman"/>
                <w:sz w:val="20"/>
                <w:szCs w:val="20"/>
                <w:lang w:val="en-US"/>
              </w:rPr>
              <w:t>iINHIBITi</w:t>
            </w:r>
            <w:proofErr w:type="spellEnd"/>
          </w:p>
        </w:tc>
        <w:tc>
          <w:tcPr>
            <w:tcW w:w="2693"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Switching of an aptamer from grapheme surface to a complex with a target; sandwich scheme (one target vs. two aptamers)</w:t>
            </w:r>
          </w:p>
        </w:tc>
        <w:tc>
          <w:tcPr>
            <w:tcW w:w="2127"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 xml:space="preserve">Colorimetric signal from </w:t>
            </w:r>
            <w:proofErr w:type="spellStart"/>
            <w:r w:rsidRPr="007D117F">
              <w:rPr>
                <w:rFonts w:ascii="Times New Roman" w:hAnsi="Times New Roman" w:cs="Times New Roman"/>
                <w:sz w:val="20"/>
                <w:szCs w:val="20"/>
                <w:lang w:val="en-US"/>
              </w:rPr>
              <w:t>gemin</w:t>
            </w:r>
            <w:proofErr w:type="spellEnd"/>
            <w:r w:rsidRPr="007D117F">
              <w:rPr>
                <w:rFonts w:ascii="Times New Roman" w:hAnsi="Times New Roman" w:cs="Times New Roman"/>
                <w:sz w:val="20"/>
                <w:szCs w:val="20"/>
                <w:lang w:val="en-US"/>
              </w:rPr>
              <w:t xml:space="preserve">-containing </w:t>
            </w:r>
            <w:proofErr w:type="spellStart"/>
            <w:r w:rsidRPr="007D117F">
              <w:rPr>
                <w:rFonts w:ascii="Times New Roman" w:hAnsi="Times New Roman" w:cs="Times New Roman"/>
                <w:sz w:val="20"/>
                <w:szCs w:val="20"/>
                <w:lang w:val="en-US"/>
              </w:rPr>
              <w:t>graphene</w:t>
            </w:r>
            <w:proofErr w:type="spellEnd"/>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102</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"10.1021/la4048769", "ISSN" : "07437463", "PMID" : "24559089", "abstract" : "Here we report a label-free colorimetric method for protein assay based on the intrinsic peroxidase-like catalytic activity of DNA-hemin-graphene (DNA-GH) composite. By using aptamers as protein recognition elements, protein-mediated aggregation of the DNA-GH composite leads to the decrease or increase of the colorimetric signal depending on the sandwich or competitive design strategy. Thrombin and PDGF-BB were chosen as model analytes and the detection limits (LOD) by this method were estimated to be 0.5 nM and 5 nM, respectively. Compared to traditional ELISA method for protein detection, this method possesses the advantages of high sensitivity, simplicity, and low cost. In addition, by designing different DNA-modified hemin-graphene (GH) constructs, using proteins as inputs, the \"OR\" and \"INHIBIT\" logic gates were built. This procedure does not require chemical modification on the aptamer probes or analytes and circumvents the limitation associated with the number of target binding sites. Given the attractive analytical characteristics and distinct advantages of DNA-GH composite, the universal approach can be widely applied for the detection of diverse proteins and for the design of versatile logic gates. \u00a9 2014 American Chemical Society.", "author" : [ { "dropping-particle" : "", "family" : "Lin", "given" : "Bin", "non-dropping-particle" : "", "parse-names" : false, "suffix" : "" }, { "dropping-particle" : "", "family" : "Sun", "given" : "Qianqian", "non-dropping-particle" : "", "parse-names" : false, "suffix" : "" }, { "dropping-particle" : "", "family" : "Liu", "given" : "Kai", "non-dropping-particle" : "", "parse-names" : false, "suffix" : "" }, { "dropping-particle" : "", "family" : "Lu", "given" : "Danqin", "non-dropping-particle" : "", "parse-names" : false, "suffix" : "" }, { "dropping-particle" : "", "family" : "Fu", "given" : "Ying", "non-dropping-particle" : "", "parse-names" : false, "suffix" : "" }, { "dropping-particle" : "", "family" : "Xu", "given" : "Zhiai", "non-dropping-particle" : "", "parse-names" : false, "suffix" : "" }, { "dropping-particle" : "", "family" : "Zhang", "given" : "Wen", "non-dropping-particle" : "", "parse-names" : false, "suffix" : "" } ], "container-title" : "Langmuir", "id" : "ITEM-1", "issue" : "8", "issued" : { "date-parts" : [ [ "2014" ] ] }, "page" : "2144-2151", "title" : "Label-free colorimetric protein assay and logic gates design based on the self-assembly of hemin-graphene hybrid nanosheet", "type" : "article-journal", "volume" : "30" }, "uris" : [ "http://www.mendeley.com/documents/?uuid=3a5d855b-fc40-44c6-8cf4-cb955fa6dad2" ] } ], "mendeley" : { "formattedCitation" : "[24]", "plainTextFormattedCitation" : "[24]", "previouslyFormattedCitation" : "[24]"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[24]</w:t>
            </w:r>
            <w:r w:rsidRPr="00591BD9">
              <w:rPr>
                <w:rFonts w:ascii="Times New Roman" w:hAnsi="Times New Roman" w:cs="Times New Roman"/>
                <w:sz w:val="20"/>
                <w:szCs w:val="20"/>
                <w:lang w:val="en-US"/>
              </w:rPr>
              <w:fldChar w:fldCharType="end"/>
            </w:r>
          </w:p>
        </w:tc>
      </w:tr>
      <w:tr w:rsidR="002B6607" w:rsidRPr="007D117F" w:rsidTr="0098663C">
        <w:tc>
          <w:tcPr>
            <w:tcW w:w="1951"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ATP</w:t>
            </w:r>
          </w:p>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Thrombin</w:t>
            </w:r>
          </w:p>
          <w:p w:rsidR="002B6607" w:rsidRPr="007D117F" w:rsidRDefault="002B6607" w:rsidP="0098663C">
            <w:pPr>
              <w:jc w:val="center"/>
              <w:rPr>
                <w:rFonts w:ascii="Times New Roman" w:hAnsi="Times New Roman" w:cs="Times New Roman"/>
                <w:i/>
                <w:sz w:val="20"/>
                <w:szCs w:val="20"/>
                <w:lang w:val="en-US"/>
              </w:rPr>
            </w:pPr>
            <w:r w:rsidRPr="007D117F">
              <w:rPr>
                <w:rFonts w:ascii="Times New Roman" w:hAnsi="Times New Roman" w:cs="Times New Roman"/>
                <w:i/>
                <w:sz w:val="20"/>
                <w:szCs w:val="20"/>
                <w:lang w:val="en-US"/>
              </w:rPr>
              <w:t>Aptamer against thrombin</w:t>
            </w:r>
          </w:p>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i/>
                <w:sz w:val="20"/>
                <w:szCs w:val="20"/>
                <w:lang w:val="en-US"/>
              </w:rPr>
              <w:t>Aptamer against ATP</w:t>
            </w:r>
          </w:p>
        </w:tc>
        <w:tc>
          <w:tcPr>
            <w:tcW w:w="2835"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half-adder</w:t>
            </w:r>
          </w:p>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half-</w:t>
            </w:r>
            <w:proofErr w:type="spellStart"/>
            <w:r w:rsidRPr="007D117F">
              <w:rPr>
                <w:rFonts w:ascii="Times New Roman" w:hAnsi="Times New Roman" w:cs="Times New Roman"/>
                <w:sz w:val="20"/>
                <w:szCs w:val="20"/>
                <w:lang w:val="en-US"/>
              </w:rPr>
              <w:t>substractor</w:t>
            </w:r>
            <w:proofErr w:type="spellEnd"/>
          </w:p>
        </w:tc>
        <w:tc>
          <w:tcPr>
            <w:tcW w:w="2693"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Switching of an aptamer from grapheme surface to a complex with a target</w:t>
            </w:r>
          </w:p>
        </w:tc>
        <w:tc>
          <w:tcPr>
            <w:tcW w:w="2127" w:type="dxa"/>
            <w:vAlign w:val="center"/>
          </w:tcPr>
          <w:p w:rsidR="002B6607" w:rsidRPr="007D117F"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Fluorescence (</w:t>
            </w:r>
            <w:r>
              <w:rPr>
                <w:rFonts w:ascii="Times New Roman" w:hAnsi="Times New Roman" w:cs="Times New Roman"/>
                <w:sz w:val="20"/>
                <w:szCs w:val="20"/>
                <w:lang w:val="en-US"/>
              </w:rPr>
              <w:t>Q</w:t>
            </w:r>
            <w:r w:rsidRPr="007D117F">
              <w:rPr>
                <w:rFonts w:ascii="Times New Roman" w:hAnsi="Times New Roman" w:cs="Times New Roman"/>
                <w:sz w:val="20"/>
                <w:szCs w:val="20"/>
                <w:lang w:val="en-US"/>
              </w:rPr>
              <w:t>D</w:t>
            </w:r>
            <w:r w:rsidRPr="007D117F">
              <w:rPr>
                <w:rFonts w:ascii="Times New Roman" w:hAnsi="Times New Roman" w:cs="Times New Roman"/>
                <w:sz w:val="20"/>
                <w:szCs w:val="20"/>
                <w:vertAlign w:val="subscript"/>
                <w:lang w:val="en-US"/>
              </w:rPr>
              <w:t>506</w:t>
            </w:r>
            <w:r w:rsidRPr="007D117F">
              <w:rPr>
                <w:rFonts w:ascii="Times New Roman" w:hAnsi="Times New Roman" w:cs="Times New Roman"/>
                <w:sz w:val="20"/>
                <w:szCs w:val="20"/>
                <w:lang w:val="en-US"/>
              </w:rPr>
              <w:t xml:space="preserve"> </w:t>
            </w:r>
            <w:r w:rsidRPr="007D117F">
              <w:rPr>
                <w:rFonts w:ascii="Times New Roman" w:hAnsi="Times New Roman" w:cs="Times New Roman"/>
                <w:sz w:val="20"/>
                <w:szCs w:val="20"/>
              </w:rPr>
              <w:t>и</w:t>
            </w:r>
            <w:r w:rsidRPr="007D117F">
              <w:rPr>
                <w:rFonts w:ascii="Times New Roman" w:hAnsi="Times New Roman" w:cs="Times New Roman"/>
                <w:sz w:val="20"/>
                <w:szCs w:val="20"/>
                <w:lang w:val="en-US"/>
              </w:rPr>
              <w:t xml:space="preserve"> QD</w:t>
            </w:r>
            <w:r w:rsidRPr="007D117F">
              <w:rPr>
                <w:rFonts w:ascii="Times New Roman" w:hAnsi="Times New Roman" w:cs="Times New Roman"/>
                <w:sz w:val="20"/>
                <w:szCs w:val="20"/>
                <w:vertAlign w:val="subscript"/>
                <w:lang w:val="en-US"/>
              </w:rPr>
              <w:t>571</w:t>
            </w:r>
            <w:r>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40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"10.1039/c7cc05279k", "ISSN" : "1364548X", "PMID" : "28956037", "abstract" : "By a combination of quantum dot-labelled aptamers and graphene oxide, a hybrid molecular system was developed for the integration of multiple logic gates to implement half adder and half subtractor functions. On the merits of quantum dots, repetitious arithmetic operations and a reliable fluorescent switch were demonstrated.", "author" : [ { "dropping-particle" : "", "family" : "Hu", "given" : "Xianyun", "non-dropping-particle" : "", "parse-names" : false, "suffix" : "" }, { "dropping-particle" : "", "family" : "Liu", "given" : "Yuqian", "non-dropping-particle" : "", "parse-names" : false, "suffix" : "" }, { "dropping-particle" : "", "family" : "Qu", "given" : "Xiaojun", "non-dropping-particle" : "", "parse-names" : false, "suffix" : "" }, { "dropping-particle" : "", "family" : "Sun", "given" : "Qingjiang", "non-dropping-particle" : "", "parse-names" : false, "suffix" : "" } ], "container-title" : "Chemical Communications", "id" : "ITEM-1", "issue" : "81", "issued" : { "date-parts" : [ [ "2017" ] ] }, "page" : "11181-11184", "title" : "A quantum dot-labelled aptamer/graphene oxide system for the construction of a half-adder and half-subtractor with high resettability", "type" : "article-journal", "volume" : "53" }, "uris" : [ "http://www.mendeley.com/documents/?uuid=6e3b3392-2697-4778-9bf5-240a14b450cd" ] } ], "mendeley" : { "formattedCitation" : "[25]", "plainTextFormattedCitation" : "[25]", "previouslyFormattedCitation" : "[25]"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[25]</w:t>
            </w:r>
            <w:r w:rsidRPr="00591BD9">
              <w:rPr>
                <w:rFonts w:ascii="Times New Roman" w:hAnsi="Times New Roman" w:cs="Times New Roman"/>
                <w:sz w:val="20"/>
                <w:szCs w:val="20"/>
                <w:lang w:val="en-US"/>
              </w:rPr>
              <w:fldChar w:fldCharType="end"/>
            </w:r>
          </w:p>
        </w:tc>
      </w:tr>
      <w:tr w:rsidR="002B6607" w:rsidRPr="00CF7873" w:rsidTr="0098663C">
        <w:tc>
          <w:tcPr>
            <w:tcW w:w="1951" w:type="dxa"/>
            <w:vAlign w:val="center"/>
          </w:tcPr>
          <w:p w:rsidR="002B6607" w:rsidRPr="00CF7873" w:rsidRDefault="002B6607" w:rsidP="0098663C">
            <w:pPr>
              <w:jc w:val="center"/>
              <w:rPr>
                <w:rFonts w:ascii="Times New Roman" w:hAnsi="Times New Roman" w:cs="Times New Roman"/>
                <w:sz w:val="20"/>
                <w:szCs w:val="20"/>
                <w:lang w:val="en-US"/>
              </w:rPr>
            </w:pPr>
            <w:r w:rsidRPr="00CF7873">
              <w:rPr>
                <w:rFonts w:ascii="Times New Roman" w:hAnsi="Times New Roman" w:cs="Times New Roman"/>
                <w:sz w:val="20"/>
                <w:szCs w:val="20"/>
                <w:lang w:val="en-US"/>
              </w:rPr>
              <w:t>ATP</w:t>
            </w:r>
          </w:p>
          <w:p w:rsidR="002B6607" w:rsidRPr="00CF7873" w:rsidRDefault="002B6607" w:rsidP="0098663C">
            <w:pPr>
              <w:jc w:val="center"/>
              <w:rPr>
                <w:rFonts w:ascii="Times New Roman" w:hAnsi="Times New Roman" w:cs="Times New Roman"/>
                <w:sz w:val="20"/>
                <w:szCs w:val="20"/>
                <w:lang w:val="en-US"/>
              </w:rPr>
            </w:pPr>
            <w:proofErr w:type="spellStart"/>
            <w:r w:rsidRPr="00CF7873">
              <w:rPr>
                <w:rFonts w:ascii="Times New Roman" w:hAnsi="Times New Roman" w:cs="Times New Roman"/>
                <w:sz w:val="20"/>
                <w:szCs w:val="20"/>
                <w:lang w:val="en-US"/>
              </w:rPr>
              <w:t>ssDNA</w:t>
            </w:r>
            <w:proofErr w:type="spellEnd"/>
          </w:p>
        </w:tc>
        <w:tc>
          <w:tcPr>
            <w:tcW w:w="2835" w:type="dxa"/>
            <w:vAlign w:val="center"/>
          </w:tcPr>
          <w:p w:rsidR="002B6607" w:rsidRPr="00CF7873" w:rsidRDefault="002B6607" w:rsidP="0098663C">
            <w:pPr>
              <w:jc w:val="center"/>
              <w:rPr>
                <w:rFonts w:ascii="Times New Roman" w:hAnsi="Times New Roman" w:cs="Times New Roman"/>
                <w:sz w:val="20"/>
                <w:szCs w:val="20"/>
                <w:lang w:val="en-US"/>
              </w:rPr>
            </w:pPr>
            <w:proofErr w:type="spellStart"/>
            <w:r w:rsidRPr="00CF7873">
              <w:rPr>
                <w:rFonts w:ascii="Times New Roman" w:hAnsi="Times New Roman" w:cs="Times New Roman"/>
                <w:sz w:val="20"/>
                <w:szCs w:val="20"/>
                <w:lang w:val="en-US"/>
              </w:rPr>
              <w:t>iANDi</w:t>
            </w:r>
            <w:proofErr w:type="spellEnd"/>
          </w:p>
        </w:tc>
        <w:tc>
          <w:tcPr>
            <w:tcW w:w="2693" w:type="dxa"/>
            <w:vAlign w:val="center"/>
          </w:tcPr>
          <w:p w:rsidR="002B6607" w:rsidRPr="00CF7873" w:rsidRDefault="002B6607" w:rsidP="0098663C">
            <w:pPr>
              <w:jc w:val="center"/>
              <w:rPr>
                <w:rFonts w:ascii="Times New Roman" w:hAnsi="Times New Roman" w:cs="Times New Roman"/>
                <w:sz w:val="20"/>
                <w:szCs w:val="20"/>
                <w:lang w:val="en-US"/>
              </w:rPr>
            </w:pPr>
            <w:r w:rsidRPr="007D117F">
              <w:rPr>
                <w:rFonts w:ascii="Times New Roman" w:hAnsi="Times New Roman" w:cs="Times New Roman"/>
                <w:sz w:val="20"/>
                <w:szCs w:val="20"/>
                <w:lang w:val="en-US"/>
              </w:rPr>
              <w:t xml:space="preserve">Switching of an aptamer from </w:t>
            </w:r>
            <w:proofErr w:type="spellStart"/>
            <w:r>
              <w:rPr>
                <w:rFonts w:ascii="Times New Roman" w:hAnsi="Times New Roman" w:cs="Times New Roman"/>
                <w:sz w:val="20"/>
                <w:szCs w:val="20"/>
                <w:lang w:val="en-US"/>
              </w:rPr>
              <w:t>dsDNA</w:t>
            </w:r>
            <w:proofErr w:type="spellEnd"/>
            <w:r w:rsidRPr="007D117F">
              <w:rPr>
                <w:rFonts w:ascii="Times New Roman" w:hAnsi="Times New Roman" w:cs="Times New Roman"/>
                <w:sz w:val="20"/>
                <w:szCs w:val="20"/>
                <w:lang w:val="en-US"/>
              </w:rPr>
              <w:t xml:space="preserve"> to a complex with a target</w:t>
            </w:r>
          </w:p>
        </w:tc>
        <w:tc>
          <w:tcPr>
            <w:tcW w:w="2127" w:type="dxa"/>
            <w:vAlign w:val="center"/>
          </w:tcPr>
          <w:p w:rsidR="002B6607" w:rsidRPr="00CF7873" w:rsidRDefault="002B6607" w:rsidP="0098663C">
            <w:pPr>
              <w:jc w:val="center"/>
              <w:rPr>
                <w:rFonts w:ascii="Times New Roman" w:hAnsi="Times New Roman" w:cs="Times New Roman"/>
                <w:sz w:val="20"/>
                <w:szCs w:val="20"/>
                <w:lang w:val="en-US"/>
              </w:rPr>
            </w:pPr>
            <w:r w:rsidRPr="00CF7873">
              <w:rPr>
                <w:rFonts w:ascii="Times New Roman" w:hAnsi="Times New Roman" w:cs="Times New Roman"/>
                <w:sz w:val="20"/>
                <w:szCs w:val="20"/>
                <w:lang w:val="en-US"/>
              </w:rPr>
              <w:t>Fluorescence</w:t>
            </w:r>
            <w:r>
              <w:rPr>
                <w:rFonts w:ascii="Times New Roman" w:hAnsi="Times New Roman" w:cs="Times New Roman"/>
                <w:sz w:val="20"/>
                <w:szCs w:val="20"/>
                <w:lang w:val="en-US"/>
              </w:rPr>
              <w:t xml:space="preserve"> (</w:t>
            </w:r>
            <w:proofErr w:type="spellStart"/>
            <w:r w:rsidRPr="00CF7873">
              <w:rPr>
                <w:rFonts w:ascii="Times New Roman" w:hAnsi="Times New Roman" w:cs="Times New Roman"/>
                <w:sz w:val="20"/>
                <w:szCs w:val="20"/>
                <w:lang w:val="en-US"/>
              </w:rPr>
              <w:t>PicoGreen</w:t>
            </w:r>
            <w:proofErr w:type="spellEnd"/>
            <w:r w:rsidRPr="00CF7873">
              <w:rPr>
                <w:rFonts w:ascii="Times New Roman" w:hAnsi="Times New Roman" w:cs="Times New Roman"/>
                <w:sz w:val="20"/>
                <w:szCs w:val="20"/>
                <w:lang w:val="en-US"/>
              </w:rPr>
              <w:t xml:space="preserve"> dye</w:t>
            </w:r>
            <w:r>
              <w:rPr>
                <w:rFonts w:ascii="Times New Roman" w:hAnsi="Times New Roman" w:cs="Times New Roman"/>
                <w:sz w:val="20"/>
                <w:szCs w:val="20"/>
                <w:lang w:val="en-US"/>
              </w:rPr>
              <w:t xml:space="preserve"> for </w:t>
            </w:r>
            <w:proofErr w:type="spellStart"/>
            <w:r>
              <w:rPr>
                <w:rFonts w:ascii="Times New Roman" w:hAnsi="Times New Roman" w:cs="Times New Roman"/>
                <w:sz w:val="20"/>
                <w:szCs w:val="20"/>
                <w:lang w:val="en-US"/>
              </w:rPr>
              <w:t>dsDNA</w:t>
            </w:r>
            <w:proofErr w:type="spellEnd"/>
            <w:r>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180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"10.3390/s18103281", "ISSN" : "14248220", "PMID" : "30274300", "abstract" : "In this study, a label-free fluorescent, enzyme-free, simple, highly sensitive AND logic gate aptasensor was developed for the detection of adenosine triphosphate (ATP). Double-stranded deoxyribonucleic acid (DNA) with cohesive ends was attached to graphene oxide (GO) to form an aptasensor probe. ATP and single-stranded DNA were used as input signals. Fluorescence intensity of PicoGreen dye was used as an output signal. The biosensor-related performances, including the logic gate construction, reaction time, linearity, sensitivity, and specificity, were investigated and the results showed that an AND logic gate was successfully constructed. The ATP detection range was found to be 20 to 400 nM (R2 = 0.9943) with limit of detection (LOD) of 142.6 pM, and the sensitivity range was 1.846 \u00d7 106 to 2.988 \u00d7 106 M\u22121. This method for the detection of ATP has the characteristics of being simple, low cost, and highly sensitive.", "author" : [ { "dropping-particle" : "", "family" : "Zhang", "given" : "Jingjing", "non-dropping-particle" : "", "parse-names" : false, "suffix" : "" }, { "dropping-particle" : "", "family" : "Yang", "given" : "Chunzheng", "non-dropping-particle" : "", "parse-names" : false, "suffix" : "" }, { "dropping-particle" : "", "family" : "Niu", "given" : "Chaoqun", "non-dropping-particle" : "", "parse-names" : false, "suffix" : "" }, { "dropping-particle" : "", "family" : "Liu", "given" : "Chen", "non-dropping-particle" : "", "parse-names" : false, "suffix" : "" }, { "dropping-particle" : "", "family" : "Cai", "given" : "Xuepin", "non-dropping-particle" : "", "parse-names" : false, "suffix" : "" }, { "dropping-particle" : "", "family" : "Du", "given" : "Jie", "non-dropping-particle" : "", "parse-names" : false, "suffix" : "" }, { "dropping-particle" : "", "family" : "Chen", "given" : "Yong", "non-dropping-particle" : "", "parse-names" : false, "suffix" : "" } ], "container-title" : "Sensors (Switzerland)", "id" : "ITEM-1", "issue" : "10", "issued" : { "date-parts" : [ [ "2018" ] ] }, "title" : "A label-free fluorescent AND logic gate aptasensor for sensitive ATP detection", "type" : "article-journal", "volume" : "18" }, "uris" : [ "http://www.mendeley.com/documents/?uuid=dff39bdb-3bee-45be-9705-5dcd2c1d4bed" ] } ], "mendeley" : { "formattedCitation" : "[26]", "plainTextFormattedCitation" : "[26]", "previouslyFormattedCitation" : "[26]"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[26]</w:t>
            </w:r>
            <w:r w:rsidRPr="00591BD9">
              <w:rPr>
                <w:rFonts w:ascii="Times New Roman" w:hAnsi="Times New Roman" w:cs="Times New Roman"/>
                <w:sz w:val="20"/>
                <w:szCs w:val="20"/>
                <w:lang w:val="en-US"/>
              </w:rPr>
              <w:fldChar w:fldCharType="end"/>
            </w:r>
          </w:p>
        </w:tc>
      </w:tr>
      <w:tr w:rsidR="002B6607" w:rsidRPr="00BC1904" w:rsidTr="0098663C">
        <w:trPr>
          <w:trHeight w:val="396"/>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proofErr w:type="spellStart"/>
            <w:r w:rsidRPr="00591BD9">
              <w:rPr>
                <w:rFonts w:ascii="Times New Roman" w:hAnsi="Times New Roman" w:cs="Times New Roman"/>
                <w:b/>
                <w:sz w:val="20"/>
                <w:szCs w:val="20"/>
              </w:rPr>
              <w:t>Elecrtochemical</w:t>
            </w:r>
            <w:proofErr w:type="spellEnd"/>
            <w:r w:rsidRPr="00591BD9">
              <w:rPr>
                <w:rFonts w:ascii="Times New Roman" w:hAnsi="Times New Roman" w:cs="Times New Roman"/>
                <w:b/>
                <w:sz w:val="20"/>
                <w:szCs w:val="20"/>
              </w:rPr>
              <w:t xml:space="preserve"> </w:t>
            </w:r>
            <w:proofErr w:type="spellStart"/>
            <w:r w:rsidRPr="00591BD9">
              <w:rPr>
                <w:rFonts w:ascii="Times New Roman" w:hAnsi="Times New Roman" w:cs="Times New Roman"/>
                <w:b/>
                <w:sz w:val="20"/>
                <w:szCs w:val="20"/>
              </w:rPr>
              <w:t>detection</w:t>
            </w:r>
            <w:proofErr w:type="spellEnd"/>
          </w:p>
        </w:tc>
      </w:tr>
      <w:tr w:rsidR="002B6607" w:rsidRPr="00BC1904" w:rsidTr="0098663C">
        <w:trPr>
          <w:trHeight w:val="402"/>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Two-/three electrode cells</w:t>
            </w:r>
          </w:p>
        </w:tc>
      </w:tr>
      <w:tr w:rsidR="002B6607" w:rsidRPr="00BC1904" w:rsidTr="0098663C">
        <w:trPr>
          <w:trHeight w:val="421"/>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proofErr w:type="spellStart"/>
            <w:r w:rsidRPr="00591BD9">
              <w:rPr>
                <w:rFonts w:ascii="Times New Roman" w:hAnsi="Times New Roman" w:cs="Times New Roman"/>
                <w:b/>
                <w:sz w:val="20"/>
                <w:szCs w:val="20"/>
                <w:lang w:val="en-US"/>
              </w:rPr>
              <w:t>Electroactive</w:t>
            </w:r>
            <w:proofErr w:type="spellEnd"/>
            <w:r w:rsidRPr="00591BD9">
              <w:rPr>
                <w:rFonts w:ascii="Times New Roman" w:hAnsi="Times New Roman" w:cs="Times New Roman"/>
                <w:b/>
                <w:sz w:val="20"/>
                <w:szCs w:val="20"/>
                <w:lang w:val="en-US"/>
              </w:rPr>
              <w:t xml:space="preserve"> compounds</w:t>
            </w:r>
          </w:p>
        </w:tc>
      </w:tr>
      <w:tr w:rsidR="002B6607" w:rsidRPr="00F05539" w:rsidTr="0098663C">
        <w:tc>
          <w:tcPr>
            <w:tcW w:w="1951" w:type="dxa"/>
            <w:vAlign w:val="center"/>
          </w:tcPr>
          <w:p w:rsidR="002B6607" w:rsidRPr="00F05539" w:rsidRDefault="002B6607" w:rsidP="0098663C">
            <w:pPr>
              <w:jc w:val="center"/>
              <w:rPr>
                <w:rFonts w:ascii="Times New Roman" w:hAnsi="Times New Roman" w:cs="Times New Roman"/>
                <w:sz w:val="20"/>
                <w:szCs w:val="20"/>
              </w:rPr>
            </w:pPr>
            <w:r w:rsidRPr="00F05539">
              <w:rPr>
                <w:rFonts w:ascii="Times New Roman" w:hAnsi="Times New Roman" w:cs="Times New Roman"/>
                <w:sz w:val="20"/>
                <w:szCs w:val="20"/>
                <w:lang w:val="en-US"/>
              </w:rPr>
              <w:t>Cocaine</w:t>
            </w:r>
          </w:p>
          <w:p w:rsidR="002B6607" w:rsidRPr="00F05539" w:rsidRDefault="002B6607" w:rsidP="0098663C">
            <w:pPr>
              <w:jc w:val="center"/>
              <w:rPr>
                <w:rFonts w:ascii="Times New Roman" w:hAnsi="Times New Roman" w:cs="Times New Roman"/>
                <w:i/>
                <w:sz w:val="20"/>
                <w:szCs w:val="20"/>
              </w:rPr>
            </w:pPr>
            <w:proofErr w:type="spellStart"/>
            <w:r w:rsidRPr="00F05539">
              <w:rPr>
                <w:rFonts w:ascii="Times New Roman" w:hAnsi="Times New Roman" w:cs="Times New Roman"/>
                <w:i/>
                <w:sz w:val="20"/>
                <w:szCs w:val="20"/>
                <w:lang w:val="en-US"/>
              </w:rPr>
              <w:t>ssDNA</w:t>
            </w:r>
            <w:proofErr w:type="spellEnd"/>
          </w:p>
        </w:tc>
        <w:tc>
          <w:tcPr>
            <w:tcW w:w="2835" w:type="dxa"/>
            <w:vAlign w:val="center"/>
          </w:tcPr>
          <w:p w:rsidR="002B6607" w:rsidRPr="00F05539" w:rsidRDefault="002B6607" w:rsidP="0098663C">
            <w:pPr>
              <w:jc w:val="center"/>
              <w:rPr>
                <w:rFonts w:ascii="Times New Roman" w:hAnsi="Times New Roman" w:cs="Times New Roman"/>
                <w:sz w:val="20"/>
                <w:szCs w:val="20"/>
                <w:lang w:val="en-US"/>
              </w:rPr>
            </w:pPr>
            <w:proofErr w:type="spellStart"/>
            <w:r w:rsidRPr="00F05539">
              <w:rPr>
                <w:rFonts w:ascii="Times New Roman" w:hAnsi="Times New Roman" w:cs="Times New Roman"/>
                <w:sz w:val="20"/>
                <w:szCs w:val="20"/>
                <w:lang w:val="en-US"/>
              </w:rPr>
              <w:t>iXORi</w:t>
            </w:r>
            <w:proofErr w:type="spellEnd"/>
          </w:p>
        </w:tc>
        <w:tc>
          <w:tcPr>
            <w:tcW w:w="2693"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Formation of a complex of an aptamer with a target</w:t>
            </w:r>
          </w:p>
        </w:tc>
        <w:tc>
          <w:tcPr>
            <w:tcW w:w="2127"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 xml:space="preserve">Change </w:t>
            </w:r>
            <w:r>
              <w:rPr>
                <w:rFonts w:ascii="Times New Roman" w:hAnsi="Times New Roman" w:cs="Times New Roman"/>
                <w:sz w:val="20"/>
                <w:szCs w:val="20"/>
                <w:lang w:val="en-US"/>
              </w:rPr>
              <w:t>in</w:t>
            </w:r>
            <w:r w:rsidRPr="00F05539">
              <w:rPr>
                <w:rFonts w:ascii="Times New Roman" w:hAnsi="Times New Roman" w:cs="Times New Roman"/>
                <w:sz w:val="20"/>
                <w:szCs w:val="20"/>
                <w:lang w:val="en-US"/>
              </w:rPr>
              <w:t xml:space="preserve"> the reduction current (methylene blue)</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Not defined</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"10.1021/ja101379k", "ISSN" : "15205126", "PMID" : "20527878", "abstract" : "An \"XOR\" gate built using label-free, dual-analyte electrochemical sensors and the activation of this logic gate via changing concentrations of cocaine and the relevant cDNA as inputs are described. \u00a9 2010 American Chemical Society.", "author" : [ { "dropping-particle" : "", "family" : "Xia", "given" : "Fan", "non-dropping-particle" : "", "parse-names" : false, "suffix" : "" }, { "dropping-particle" : "", "family" : "Zuo", "given" : "Xiaolei", "non-dropping-particle" : "", "parse-names" : false, "suffix" : "" }, { "dropping-particle" : "", "family" : "Yang", "given" : "Renqiang", "non-dropping-particle" : "", "parse-names" : false, "suffix" : "" }, { "dropping-particle" : "", "family" : "White", "given" : "Ryan J.", "non-dropping-particle" : "", "parse-names" : false, "suffix" : "" }, { "dropping-particle" : "", "family" : "Xiao", "given" : "Yi", "non-dropping-particle" : "", "parse-names" : false, "suffix" : "" }, { "dropping-particle" : "", "family" : "Kang", "given" : "Di", "non-dropping-particle" : "", "parse-names" : false, "suffix" : "" }, { "dropping-particle" : "", "family" : "Gong", "given" : "Xiong", "non-dropping-particle" : "", "parse-names" : false, "suffix" : "" }, { "dropping-particle" : "", "family" : "Lubin", "given" : "Arica A.", "non-dropping-particle" : "", "parse-names" : false, "suffix" : "" }, { "dropping-particle" : "", "family" : "Vall\u00e9e-B\u00e9lisle", "given" : "Alexis", "non-dropping-particle" : "", "parse-names" : false, "suffix" : "" }, { "dropping-particle" : "", "family" : "Yuen", "given" : "Jonathan D.", "non-dropping-particle" : "", "parse-names" : false, "suffix" : "" }, { "dropping-particle" : "", "family" : "Hsu", "given" : "Ben Y.B.", "non-dropping-particle" : "", "parse-names" : false, "suffix" : "" }, { "dropping-particle" : "", "family" : "Plaxco", "given" : "Kevin W.", "non-dropping-particle" : "", "parse-names" : false, "suffix" : "" } ], "container-title" : "Journal of the American Chemical Society", "id" : "ITEM-1", "issue" : "25", "issued" : { "date-parts" : [ [ "2010" ] ] }, "page" : "8557-8559", "title" : "Label-free, dual-analyte electrochemical biosensors: A new class of molecular-electronic logic gates", "type" : "article-journal", "volume" : "132" }, "uris" : [ "http://www.mendeley.com/documents/?uuid=905f71d6-f73b-472a-960d-bc16830ee628" ] } ], "mendeley" : { "formattedCitation" : "[27]", "plainTextFormattedCitation" : "[27]", "previouslyFormattedCitation" : "[27]"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[27]</w:t>
            </w:r>
            <w:r w:rsidRPr="00591BD9">
              <w:rPr>
                <w:rFonts w:ascii="Times New Roman" w:hAnsi="Times New Roman" w:cs="Times New Roman"/>
                <w:sz w:val="20"/>
                <w:szCs w:val="20"/>
                <w:lang w:val="en-US"/>
              </w:rPr>
              <w:fldChar w:fldCharType="end"/>
            </w:r>
          </w:p>
        </w:tc>
      </w:tr>
      <w:tr w:rsidR="002B6607" w:rsidRPr="00BC1904" w:rsidTr="0098663C">
        <w:tc>
          <w:tcPr>
            <w:tcW w:w="1951"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ATP</w:t>
            </w:r>
          </w:p>
          <w:p w:rsidR="002B6607" w:rsidRPr="00F05539" w:rsidRDefault="002B6607" w:rsidP="0098663C">
            <w:pPr>
              <w:jc w:val="center"/>
              <w:rPr>
                <w:rFonts w:ascii="Times New Roman" w:hAnsi="Times New Roman" w:cs="Times New Roman"/>
                <w:i/>
                <w:sz w:val="20"/>
                <w:szCs w:val="20"/>
                <w:lang w:val="en-US"/>
              </w:rPr>
            </w:pPr>
            <w:r w:rsidRPr="00F05539">
              <w:rPr>
                <w:rFonts w:ascii="Times New Roman" w:hAnsi="Times New Roman" w:cs="Times New Roman"/>
                <w:i/>
                <w:sz w:val="20"/>
                <w:szCs w:val="20"/>
                <w:lang w:val="en-US"/>
              </w:rPr>
              <w:t xml:space="preserve">Adenosine </w:t>
            </w:r>
            <w:proofErr w:type="spellStart"/>
            <w:r w:rsidRPr="00F05539">
              <w:rPr>
                <w:rFonts w:ascii="Times New Roman" w:hAnsi="Times New Roman" w:cs="Times New Roman"/>
                <w:i/>
                <w:sz w:val="20"/>
                <w:szCs w:val="20"/>
                <w:lang w:val="en-US"/>
              </w:rPr>
              <w:t>deaminase</w:t>
            </w:r>
            <w:proofErr w:type="spellEnd"/>
          </w:p>
          <w:p w:rsidR="002B6607" w:rsidRPr="00F05539" w:rsidRDefault="002B6607" w:rsidP="0098663C">
            <w:pPr>
              <w:jc w:val="center"/>
              <w:rPr>
                <w:rFonts w:ascii="Times New Roman" w:hAnsi="Times New Roman" w:cs="Times New Roman"/>
                <w:i/>
                <w:sz w:val="20"/>
                <w:szCs w:val="20"/>
                <w:lang w:val="en-US"/>
              </w:rPr>
            </w:pPr>
            <w:r w:rsidRPr="00F05539">
              <w:rPr>
                <w:rFonts w:ascii="Times New Roman" w:hAnsi="Times New Roman" w:cs="Times New Roman"/>
                <w:i/>
                <w:sz w:val="20"/>
                <w:szCs w:val="20"/>
                <w:lang w:val="en-US"/>
              </w:rPr>
              <w:t>K</w:t>
            </w:r>
            <w:r w:rsidRPr="00F05539">
              <w:rPr>
                <w:rFonts w:ascii="Times New Roman" w:hAnsi="Times New Roman" w:cs="Times New Roman"/>
                <w:i/>
                <w:sz w:val="20"/>
                <w:szCs w:val="20"/>
                <w:vertAlign w:val="subscript"/>
                <w:lang w:val="en-US"/>
              </w:rPr>
              <w:t>3</w:t>
            </w:r>
            <w:r w:rsidRPr="00F05539">
              <w:rPr>
                <w:rFonts w:ascii="Times New Roman" w:hAnsi="Times New Roman" w:cs="Times New Roman"/>
                <w:i/>
                <w:sz w:val="20"/>
                <w:szCs w:val="20"/>
                <w:lang w:val="en-US"/>
              </w:rPr>
              <w:t>[Fe(CN)</w:t>
            </w:r>
            <w:r w:rsidRPr="00F05539">
              <w:rPr>
                <w:rFonts w:ascii="Times New Roman" w:hAnsi="Times New Roman" w:cs="Times New Roman"/>
                <w:i/>
                <w:sz w:val="20"/>
                <w:szCs w:val="20"/>
                <w:vertAlign w:val="subscript"/>
                <w:lang w:val="en-US"/>
              </w:rPr>
              <w:t>6</w:t>
            </w:r>
            <w:r w:rsidRPr="00F05539">
              <w:rPr>
                <w:rFonts w:ascii="Times New Roman" w:hAnsi="Times New Roman" w:cs="Times New Roman"/>
                <w:i/>
                <w:sz w:val="20"/>
                <w:szCs w:val="20"/>
                <w:lang w:val="en-US"/>
              </w:rPr>
              <w:t>]</w:t>
            </w:r>
          </w:p>
          <w:p w:rsidR="002B6607" w:rsidRPr="00F05539" w:rsidRDefault="002B6607" w:rsidP="0098663C">
            <w:pPr>
              <w:jc w:val="center"/>
              <w:rPr>
                <w:rFonts w:ascii="Times New Roman" w:hAnsi="Times New Roman" w:cs="Times New Roman"/>
                <w:i/>
                <w:sz w:val="20"/>
                <w:szCs w:val="20"/>
                <w:lang w:val="en-US"/>
              </w:rPr>
            </w:pPr>
            <w:r w:rsidRPr="00F05539">
              <w:rPr>
                <w:rFonts w:ascii="Times New Roman" w:hAnsi="Times New Roman" w:cs="Times New Roman"/>
                <w:i/>
                <w:sz w:val="20"/>
                <w:szCs w:val="20"/>
                <w:lang w:val="en-US"/>
              </w:rPr>
              <w:t>K</w:t>
            </w:r>
            <w:r w:rsidRPr="00F05539">
              <w:rPr>
                <w:rFonts w:ascii="Times New Roman" w:hAnsi="Times New Roman" w:cs="Times New Roman"/>
                <w:i/>
                <w:sz w:val="20"/>
                <w:szCs w:val="20"/>
                <w:vertAlign w:val="subscript"/>
                <w:lang w:val="en-US"/>
              </w:rPr>
              <w:t>2</w:t>
            </w:r>
            <w:r w:rsidRPr="00F05539">
              <w:rPr>
                <w:rFonts w:ascii="Times New Roman" w:hAnsi="Times New Roman" w:cs="Times New Roman"/>
                <w:i/>
                <w:sz w:val="20"/>
                <w:szCs w:val="20"/>
                <w:lang w:val="en-US"/>
              </w:rPr>
              <w:t>IrCl</w:t>
            </w:r>
            <w:r w:rsidRPr="00F05539">
              <w:rPr>
                <w:rFonts w:ascii="Times New Roman" w:hAnsi="Times New Roman" w:cs="Times New Roman"/>
                <w:i/>
                <w:sz w:val="20"/>
                <w:szCs w:val="20"/>
                <w:vertAlign w:val="subscript"/>
                <w:lang w:val="en-US"/>
              </w:rPr>
              <w:t>6</w:t>
            </w:r>
          </w:p>
        </w:tc>
        <w:tc>
          <w:tcPr>
            <w:tcW w:w="2835" w:type="dxa"/>
            <w:vAlign w:val="center"/>
          </w:tcPr>
          <w:p w:rsidR="002B6607" w:rsidRPr="00F05539" w:rsidRDefault="002B6607" w:rsidP="0098663C">
            <w:pPr>
              <w:jc w:val="center"/>
              <w:rPr>
                <w:rFonts w:ascii="Times New Roman" w:hAnsi="Times New Roman" w:cs="Times New Roman"/>
                <w:sz w:val="20"/>
                <w:szCs w:val="20"/>
                <w:lang w:val="en-US"/>
              </w:rPr>
            </w:pPr>
            <w:proofErr w:type="spellStart"/>
            <w:r w:rsidRPr="00F05539">
              <w:rPr>
                <w:rFonts w:ascii="Times New Roman" w:hAnsi="Times New Roman" w:cs="Times New Roman"/>
                <w:sz w:val="20"/>
                <w:szCs w:val="20"/>
                <w:lang w:val="en-US"/>
              </w:rPr>
              <w:t>iINHIBITi</w:t>
            </w:r>
            <w:proofErr w:type="spellEnd"/>
          </w:p>
          <w:p w:rsidR="002B6607" w:rsidRPr="00F05539" w:rsidRDefault="002B6607" w:rsidP="0098663C">
            <w:pPr>
              <w:jc w:val="center"/>
              <w:rPr>
                <w:rFonts w:ascii="Times New Roman" w:hAnsi="Times New Roman" w:cs="Times New Roman"/>
                <w:sz w:val="20"/>
                <w:szCs w:val="20"/>
              </w:rPr>
            </w:pPr>
            <w:proofErr w:type="spellStart"/>
            <w:r w:rsidRPr="00F05539">
              <w:rPr>
                <w:rFonts w:ascii="Times New Roman" w:hAnsi="Times New Roman" w:cs="Times New Roman"/>
                <w:sz w:val="20"/>
                <w:szCs w:val="20"/>
                <w:lang w:val="en-US"/>
              </w:rPr>
              <w:t>iINHIBITiANDi</w:t>
            </w:r>
            <w:proofErr w:type="spellEnd"/>
          </w:p>
          <w:p w:rsidR="002B6607" w:rsidRPr="00F05539" w:rsidRDefault="002B6607" w:rsidP="0098663C">
            <w:pPr>
              <w:jc w:val="center"/>
              <w:rPr>
                <w:rFonts w:ascii="Times New Roman" w:hAnsi="Times New Roman" w:cs="Times New Roman"/>
                <w:sz w:val="20"/>
                <w:szCs w:val="20"/>
                <w:lang w:val="en-US"/>
              </w:rPr>
            </w:pPr>
            <w:proofErr w:type="spellStart"/>
            <w:r w:rsidRPr="00F05539">
              <w:rPr>
                <w:rFonts w:ascii="Times New Roman" w:hAnsi="Times New Roman" w:cs="Times New Roman"/>
                <w:sz w:val="20"/>
                <w:szCs w:val="20"/>
                <w:lang w:val="en-US"/>
              </w:rPr>
              <w:t>iINHIBITiANDiXORi</w:t>
            </w:r>
            <w:proofErr w:type="spellEnd"/>
          </w:p>
        </w:tc>
        <w:tc>
          <w:tcPr>
            <w:tcW w:w="2693"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The use of split aptamer into two parts</w:t>
            </w:r>
          </w:p>
        </w:tc>
        <w:tc>
          <w:tcPr>
            <w:tcW w:w="2127"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 xml:space="preserve">Change </w:t>
            </w:r>
            <w:r>
              <w:rPr>
                <w:rFonts w:ascii="Times New Roman" w:hAnsi="Times New Roman" w:cs="Times New Roman"/>
                <w:sz w:val="20"/>
                <w:szCs w:val="20"/>
                <w:lang w:val="en-US"/>
              </w:rPr>
              <w:t>in th</w:t>
            </w:r>
            <w:r w:rsidRPr="00F05539">
              <w:rPr>
                <w:rFonts w:ascii="Times New Roman" w:hAnsi="Times New Roman" w:cs="Times New Roman"/>
                <w:sz w:val="20"/>
                <w:szCs w:val="20"/>
                <w:lang w:val="en-US"/>
              </w:rPr>
              <w:t>e current (</w:t>
            </w:r>
            <w:proofErr w:type="spellStart"/>
            <w:r w:rsidRPr="00F05539">
              <w:rPr>
                <w:rFonts w:ascii="Times New Roman" w:hAnsi="Times New Roman" w:cs="Times New Roman"/>
                <w:sz w:val="20"/>
                <w:szCs w:val="20"/>
                <w:lang w:val="en-US"/>
              </w:rPr>
              <w:t>ferrocene</w:t>
            </w:r>
            <w:proofErr w:type="spellEnd"/>
            <w:r w:rsidRPr="00F05539">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&gt;30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"10.1002/anie.201502315", "ISSN" : "15213773", "PMID" : "25959438", "abstract" : "Conventional electronic circuits can perform multi-level logic operations; however, this capability is rarely realized by biological logic gates. In addition, the question of how to close the gap between biomolecular computation and silicon-based electrical circuitry is still a key issue in the bioelectronics field. Here we explore a novel split aptamer-based multi-level logic gate built from INHIBIT and AND gates that performs a net XOR analysis, with electrochemical signal as output. Based on the aptamer-target interaction and a novel concept of electrochemical rectification, a relayed charge transfer occurs upon target binding between aptamer-linked redox probes and solution-phase probes, which amplifies the sensor signal and facilitates a straightforward and reliable diagnosis. This work reveals a new route for the design of bioelectronic logic circuits that can realize multi-level logic operation, which has the potential to simplify an otherwise complex diagnosis to a \"yes\" or \"no\" decision. Yes or no? A novel split aptamer-based multi-level logic gate, which is built from INHIBIT and AND gates, performs a net XOR analysis, with an electrochemical signal as output. This work reveals a new route for the design of bioelectronic logic circuits that can realize multi-level logic operations and which simplify an otherwise complex diagnosis to a yes/no decision.", "author" : [ { "dropping-particle" : "", "family" : "Feng", "given" : "Lingyan", "non-dropping-particle" : "", "parse-names" : false, "suffix" : "" }, { "dropping-particle" : "", "family" : "Lyu", "given" : "Zhaozi", "non-dropping-particle" : "", "parse-names" : false, "suffix" : "" }, { "dropping-particle" : "", "family" : "Offenh\u00e4usser", "given" : "Andreas", "non-dropping-particle" : "", "parse-names" : false, "suffix" : "" }, { "dropping-particle" : "", "family" : "Mayer", "given" : "Dirk", "non-dropping-particle" : "", "parse-names" : false, "suffix" : "" } ], "container-title" : "Angewandte Chemie - International Edition", "id" : "ITEM-1", "issue" : "26", "issued" : { "date-parts" : [ [ "2015" ] ] }, "page" : "7693-7697", "title" : "Multi-level logic gate operation based on amplified aptasensor performance", "type" : "article-journal", "volume" : "54" }, "uris" : [ "http://www.mendeley.com/documents/?uuid=a8481f9b-7e7b-46a7-95d4-c7511c9ccc57" ] } ], "mendeley" : { "formattedCitation" : "[28]", "plainTextFormattedCitation" : "[28]", "previouslyFormattedCitation" : "[28]"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[28]</w:t>
            </w:r>
            <w:r w:rsidRPr="00591BD9">
              <w:rPr>
                <w:rFonts w:ascii="Times New Roman" w:hAnsi="Times New Roman" w:cs="Times New Roman"/>
                <w:sz w:val="20"/>
                <w:szCs w:val="20"/>
                <w:lang w:val="en-US"/>
              </w:rPr>
              <w:fldChar w:fldCharType="end"/>
            </w:r>
          </w:p>
        </w:tc>
      </w:tr>
      <w:tr w:rsidR="002B6607" w:rsidRPr="0041349E" w:rsidTr="0098663C">
        <w:trPr>
          <w:trHeight w:val="823"/>
        </w:trPr>
        <w:tc>
          <w:tcPr>
            <w:tcW w:w="1951" w:type="dxa"/>
            <w:vAlign w:val="center"/>
          </w:tcPr>
          <w:p w:rsidR="002B6607" w:rsidRDefault="002B6607" w:rsidP="0098663C">
            <w:pPr>
              <w:jc w:val="center"/>
              <w:rPr>
                <w:rFonts w:ascii="Times New Roman" w:hAnsi="Times New Roman" w:cs="Times New Roman"/>
                <w:sz w:val="20"/>
                <w:szCs w:val="20"/>
                <w:lang w:val="en-US"/>
              </w:rPr>
            </w:pPr>
            <w:r w:rsidRPr="0041349E">
              <w:rPr>
                <w:rFonts w:ascii="Times New Roman" w:hAnsi="Times New Roman" w:cs="Times New Roman"/>
                <w:sz w:val="20"/>
                <w:szCs w:val="20"/>
                <w:lang w:val="en-US"/>
              </w:rPr>
              <w:t>Thrombin</w:t>
            </w:r>
          </w:p>
          <w:p w:rsidR="002B6607" w:rsidRPr="0041349E"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Lysozyme</w:t>
            </w:r>
          </w:p>
        </w:tc>
        <w:tc>
          <w:tcPr>
            <w:tcW w:w="2835" w:type="dxa"/>
            <w:vAlign w:val="center"/>
          </w:tcPr>
          <w:p w:rsidR="002B6607" w:rsidRPr="00F05539"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iNANDi</w:t>
            </w:r>
            <w:proofErr w:type="spellEnd"/>
          </w:p>
        </w:tc>
        <w:tc>
          <w:tcPr>
            <w:tcW w:w="2693" w:type="dxa"/>
            <w:vAlign w:val="center"/>
          </w:tcPr>
          <w:p w:rsidR="002B6607" w:rsidRPr="00F05539" w:rsidRDefault="002B6607" w:rsidP="0098663C">
            <w:pPr>
              <w:jc w:val="center"/>
              <w:rPr>
                <w:rFonts w:ascii="Times New Roman" w:hAnsi="Times New Roman" w:cs="Times New Roman"/>
                <w:sz w:val="20"/>
                <w:szCs w:val="20"/>
                <w:lang w:val="en-US"/>
              </w:rPr>
            </w:pPr>
            <w:r w:rsidRPr="00D31240">
              <w:rPr>
                <w:rFonts w:ascii="Times New Roman" w:hAnsi="Times New Roman" w:cs="Times New Roman"/>
                <w:sz w:val="20"/>
                <w:szCs w:val="20"/>
                <w:lang w:val="en-US"/>
              </w:rPr>
              <w:t xml:space="preserve">Switching </w:t>
            </w:r>
            <w:r>
              <w:rPr>
                <w:rFonts w:ascii="Times New Roman" w:hAnsi="Times New Roman" w:cs="Times New Roman"/>
                <w:sz w:val="20"/>
                <w:szCs w:val="20"/>
                <w:lang w:val="en-US"/>
              </w:rPr>
              <w:t xml:space="preserve">of an aptamer from </w:t>
            </w:r>
            <w:proofErr w:type="spellStart"/>
            <w:r>
              <w:rPr>
                <w:rFonts w:ascii="Times New Roman" w:hAnsi="Times New Roman" w:cs="Times New Roman"/>
                <w:sz w:val="20"/>
                <w:szCs w:val="20"/>
                <w:lang w:val="en-US"/>
              </w:rPr>
              <w:t>graphene</w:t>
            </w:r>
            <w:proofErr w:type="spellEnd"/>
            <w:r>
              <w:rPr>
                <w:rFonts w:ascii="Times New Roman" w:hAnsi="Times New Roman" w:cs="Times New Roman"/>
                <w:sz w:val="20"/>
                <w:szCs w:val="20"/>
                <w:lang w:val="en-US"/>
              </w:rPr>
              <w:t xml:space="preserve"> electrode surface to a</w:t>
            </w:r>
            <w:r w:rsidRPr="00D31240">
              <w:rPr>
                <w:rFonts w:ascii="Times New Roman" w:hAnsi="Times New Roman" w:cs="Times New Roman"/>
                <w:sz w:val="20"/>
                <w:szCs w:val="20"/>
                <w:lang w:val="en-US"/>
              </w:rPr>
              <w:t xml:space="preserve"> complex </w:t>
            </w:r>
            <w:r>
              <w:rPr>
                <w:rFonts w:ascii="Times New Roman" w:hAnsi="Times New Roman" w:cs="Times New Roman"/>
                <w:sz w:val="20"/>
                <w:szCs w:val="20"/>
                <w:lang w:val="en-US"/>
              </w:rPr>
              <w:t xml:space="preserve">with a </w:t>
            </w:r>
            <w:r w:rsidRPr="00D31240">
              <w:rPr>
                <w:rFonts w:ascii="Times New Roman" w:hAnsi="Times New Roman" w:cs="Times New Roman"/>
                <w:sz w:val="20"/>
                <w:szCs w:val="20"/>
                <w:lang w:val="en-US"/>
              </w:rPr>
              <w:t>target</w:t>
            </w:r>
            <w:r>
              <w:rPr>
                <w:rFonts w:ascii="Times New Roman" w:hAnsi="Times New Roman" w:cs="Times New Roman"/>
                <w:sz w:val="20"/>
                <w:szCs w:val="20"/>
                <w:lang w:val="en-US"/>
              </w:rPr>
              <w:t>; t</w:t>
            </w:r>
            <w:r w:rsidRPr="00F05539">
              <w:rPr>
                <w:rFonts w:ascii="Times New Roman" w:hAnsi="Times New Roman" w:cs="Times New Roman"/>
                <w:sz w:val="20"/>
                <w:szCs w:val="20"/>
                <w:lang w:val="en-US"/>
              </w:rPr>
              <w:t xml:space="preserve">he use </w:t>
            </w:r>
            <w:r>
              <w:rPr>
                <w:rFonts w:ascii="Times New Roman" w:hAnsi="Times New Roman" w:cs="Times New Roman"/>
                <w:sz w:val="20"/>
                <w:szCs w:val="20"/>
                <w:lang w:val="en-US"/>
              </w:rPr>
              <w:t xml:space="preserve">of </w:t>
            </w:r>
            <w:proofErr w:type="spellStart"/>
            <w:r>
              <w:rPr>
                <w:rFonts w:ascii="Times New Roman" w:hAnsi="Times New Roman" w:cs="Times New Roman"/>
                <w:sz w:val="20"/>
                <w:szCs w:val="20"/>
                <w:lang w:val="en-US"/>
              </w:rPr>
              <w:t>bifunctional</w:t>
            </w:r>
            <w:proofErr w:type="spellEnd"/>
            <w:r>
              <w:rPr>
                <w:rFonts w:ascii="Times New Roman" w:hAnsi="Times New Roman" w:cs="Times New Roman"/>
                <w:sz w:val="20"/>
                <w:szCs w:val="20"/>
                <w:lang w:val="en-US"/>
              </w:rPr>
              <w:t xml:space="preserve"> aptamer</w:t>
            </w:r>
          </w:p>
        </w:tc>
        <w:tc>
          <w:tcPr>
            <w:tcW w:w="2127" w:type="dxa"/>
            <w:vAlign w:val="center"/>
          </w:tcPr>
          <w:p w:rsidR="002B6607" w:rsidRPr="00F05539" w:rsidRDefault="002B6607" w:rsidP="0098663C">
            <w:pPr>
              <w:jc w:val="center"/>
              <w:rPr>
                <w:rFonts w:ascii="Times New Roman" w:hAnsi="Times New Roman" w:cs="Times New Roman"/>
                <w:sz w:val="20"/>
                <w:szCs w:val="20"/>
                <w:lang w:val="en-US"/>
              </w:rPr>
            </w:pPr>
            <w:r w:rsidRPr="00F05539">
              <w:rPr>
                <w:rFonts w:ascii="Times New Roman" w:hAnsi="Times New Roman" w:cs="Times New Roman"/>
                <w:sz w:val="20"/>
                <w:szCs w:val="20"/>
                <w:lang w:val="en-US"/>
              </w:rPr>
              <w:t xml:space="preserve">Change </w:t>
            </w:r>
            <w:r>
              <w:rPr>
                <w:rFonts w:ascii="Times New Roman" w:hAnsi="Times New Roman" w:cs="Times New Roman"/>
                <w:sz w:val="20"/>
                <w:szCs w:val="20"/>
                <w:lang w:val="en-US"/>
              </w:rPr>
              <w:t>in</w:t>
            </w:r>
            <w:r w:rsidRPr="00F05539">
              <w:rPr>
                <w:rFonts w:ascii="Times New Roman" w:hAnsi="Times New Roman" w:cs="Times New Roman"/>
                <w:sz w:val="20"/>
                <w:szCs w:val="20"/>
                <w:lang w:val="en-US"/>
              </w:rPr>
              <w:t xml:space="preserve"> the current</w:t>
            </w:r>
            <w:r>
              <w:rPr>
                <w:rFonts w:ascii="Times New Roman" w:hAnsi="Times New Roman" w:cs="Times New Roman"/>
                <w:sz w:val="20"/>
                <w:szCs w:val="20"/>
                <w:lang w:val="en-US"/>
              </w:rPr>
              <w:t xml:space="preserve"> (</w:t>
            </w:r>
            <w:r w:rsidRPr="00242549">
              <w:rPr>
                <w:rFonts w:ascii="Times New Roman" w:hAnsi="Times New Roman" w:cs="Times New Roman"/>
                <w:sz w:val="20"/>
                <w:szCs w:val="20"/>
                <w:lang w:val="en-US"/>
              </w:rPr>
              <w:t>[</w:t>
            </w:r>
            <w:proofErr w:type="spellStart"/>
            <w:r w:rsidRPr="00242549">
              <w:rPr>
                <w:rFonts w:ascii="Times New Roman" w:hAnsi="Times New Roman" w:cs="Times New Roman"/>
                <w:sz w:val="20"/>
                <w:szCs w:val="20"/>
                <w:lang w:val="en-US"/>
              </w:rPr>
              <w:t>Ru</w:t>
            </w:r>
            <w:proofErr w:type="spellEnd"/>
            <w:r w:rsidRPr="00242549">
              <w:rPr>
                <w:rFonts w:ascii="Times New Roman" w:hAnsi="Times New Roman" w:cs="Times New Roman"/>
                <w:sz w:val="20"/>
                <w:szCs w:val="20"/>
                <w:lang w:val="en-US"/>
              </w:rPr>
              <w:t>(NH</w:t>
            </w:r>
            <w:r w:rsidRPr="00242549">
              <w:rPr>
                <w:rFonts w:ascii="Times New Roman" w:hAnsi="Times New Roman" w:cs="Times New Roman"/>
                <w:sz w:val="20"/>
                <w:szCs w:val="20"/>
                <w:vertAlign w:val="subscript"/>
                <w:lang w:val="en-US"/>
              </w:rPr>
              <w:t>3</w:t>
            </w:r>
            <w:r w:rsidRPr="00242549">
              <w:rPr>
                <w:rFonts w:ascii="Times New Roman" w:hAnsi="Times New Roman" w:cs="Times New Roman"/>
                <w:sz w:val="20"/>
                <w:szCs w:val="20"/>
                <w:lang w:val="en-US"/>
              </w:rPr>
              <w:t>)</w:t>
            </w:r>
            <w:r w:rsidRPr="00242549">
              <w:rPr>
                <w:rFonts w:ascii="Times New Roman" w:hAnsi="Times New Roman" w:cs="Times New Roman"/>
                <w:sz w:val="20"/>
                <w:szCs w:val="20"/>
                <w:vertAlign w:val="subscript"/>
                <w:lang w:val="en-US"/>
              </w:rPr>
              <w:t>6</w:t>
            </w:r>
            <w:r w:rsidRPr="00242549">
              <w:rPr>
                <w:rFonts w:ascii="Times New Roman" w:hAnsi="Times New Roman" w:cs="Times New Roman"/>
                <w:sz w:val="20"/>
                <w:szCs w:val="20"/>
                <w:lang w:val="en-US"/>
              </w:rPr>
              <w:t>]</w:t>
            </w:r>
            <w:r w:rsidRPr="00242549">
              <w:rPr>
                <w:rFonts w:ascii="Times New Roman" w:hAnsi="Times New Roman" w:cs="Times New Roman"/>
                <w:sz w:val="20"/>
                <w:szCs w:val="20"/>
                <w:vertAlign w:val="superscript"/>
                <w:lang w:val="en-US"/>
              </w:rPr>
              <w:t>3+</w:t>
            </w:r>
            <w:r w:rsidRPr="00F05539">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60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"10.1016/j.snb.2012.04.078", "ISSN" : "09254005", "abstract" : "Herein, graphene was proposed as a simple label-free electrochemical sensing platform. In this sensing strategy, the graphene modified electrode was used to bind aptamer by physical adsorption. The aptamer on the graphene surface could catch the target protein in the solution, which made a neutralization of the negatively charged phosphate backbone of the aptamer, resulting in the decrease of the electrochemical signals of surface-bound [Ru(NH 3) 6] 3+. This strategy could be applied in logic aptasensor. Through the built-in NAND logic gate, it enabled us to construct logic aptasensor that could determine whether the two specific targets at saturated concentrations were both present in a sample. \u00a9 2012 Elsevier B.V. All rights reserved.", "author" : [ { "dropping-particle" : "", "family" : "Du", "given" : "Meng", "non-dropping-particle" : "", "parse-names" : false, "suffix" : "" }, { "dropping-particle" : "", "family" : "Yang", "given" : "Tao", "non-dropping-particle" : "", "parse-names" : false, "suffix" : "" }, { "dropping-particle" : "", "family" : "Zhao", "given" : "Changzhi", "non-dropping-particle" : "", "parse-names" : false, "suffix" : "" }, { "dropping-particle" : "", "family" : "Jiao", "given" : "Kui", "non-dropping-particle" : "", "parse-names" : false, "suffix" : "" } ], "container-title" : "Sensors and Actuators, B: Chemical", "id" : "ITEM-1", "issued" : { "date-parts" : [ [ "2012" ] ] }, "page" : "255-260", "title" : "Electrochemical logic aptasensor based on graphene", "type" : "article-journal", "volume" : "169" }, "uris" : [ "http://www.mendeley.com/documents/?uuid=e05b32e5-bb32-4c51-a643-8c047ff5d098" ] } ], "mendeley" : { "formattedCitation" : "[29]", "plainTextFormattedCitation" : "[29]", "previouslyFormattedCitation" : "[29]"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[29]</w:t>
            </w:r>
            <w:r w:rsidRPr="00591BD9">
              <w:rPr>
                <w:rFonts w:ascii="Times New Roman" w:hAnsi="Times New Roman" w:cs="Times New Roman"/>
                <w:sz w:val="20"/>
                <w:szCs w:val="20"/>
                <w:lang w:val="en-US"/>
              </w:rPr>
              <w:fldChar w:fldCharType="end"/>
            </w:r>
          </w:p>
        </w:tc>
      </w:tr>
      <w:tr w:rsidR="002B6607" w:rsidRPr="0041349E" w:rsidTr="0098663C">
        <w:trPr>
          <w:trHeight w:val="468"/>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Catalytic label</w:t>
            </w:r>
          </w:p>
        </w:tc>
      </w:tr>
      <w:tr w:rsidR="002B6607" w:rsidRPr="00BC1904" w:rsidTr="0098663C">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K</w:t>
            </w:r>
            <w:r w:rsidRPr="00954602">
              <w:rPr>
                <w:rFonts w:ascii="Times New Roman" w:hAnsi="Times New Roman" w:cs="Times New Roman"/>
                <w:sz w:val="20"/>
                <w:szCs w:val="20"/>
                <w:lang w:val="en-US"/>
              </w:rPr>
              <w:t>anamycin</w:t>
            </w:r>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lastRenderedPageBreak/>
              <w:t>O</w:t>
            </w:r>
            <w:r w:rsidRPr="00954602">
              <w:rPr>
                <w:rFonts w:ascii="Times New Roman" w:hAnsi="Times New Roman" w:cs="Times New Roman"/>
                <w:sz w:val="20"/>
                <w:szCs w:val="20"/>
                <w:lang w:val="en-US"/>
              </w:rPr>
              <w:t>xytetracycline</w:t>
            </w:r>
            <w:proofErr w:type="spellEnd"/>
          </w:p>
          <w:p w:rsidR="002B6607" w:rsidRPr="00954602" w:rsidRDefault="002B6607" w:rsidP="0098663C">
            <w:pPr>
              <w:jc w:val="center"/>
              <w:rPr>
                <w:rFonts w:ascii="Times New Roman" w:hAnsi="Times New Roman" w:cs="Times New Roman"/>
                <w:i/>
                <w:sz w:val="20"/>
                <w:szCs w:val="20"/>
                <w:lang w:val="en-US"/>
              </w:rPr>
            </w:pPr>
            <w:r w:rsidRPr="00954602">
              <w:rPr>
                <w:rFonts w:ascii="Times New Roman" w:hAnsi="Times New Roman" w:cs="Times New Roman"/>
                <w:i/>
                <w:sz w:val="20"/>
                <w:szCs w:val="20"/>
                <w:lang w:val="en-US"/>
              </w:rPr>
              <w:t>Aptamer against kanamycin</w:t>
            </w:r>
          </w:p>
          <w:p w:rsidR="002B6607" w:rsidRPr="00954602" w:rsidRDefault="002B6607" w:rsidP="0098663C">
            <w:pPr>
              <w:jc w:val="center"/>
              <w:rPr>
                <w:rFonts w:ascii="Times New Roman" w:hAnsi="Times New Roman" w:cs="Times New Roman"/>
                <w:i/>
                <w:sz w:val="20"/>
                <w:szCs w:val="20"/>
                <w:lang w:val="en-US"/>
              </w:rPr>
            </w:pPr>
            <w:r w:rsidRPr="00954602">
              <w:rPr>
                <w:rFonts w:ascii="Times New Roman" w:hAnsi="Times New Roman" w:cs="Times New Roman"/>
                <w:i/>
                <w:sz w:val="20"/>
                <w:szCs w:val="20"/>
                <w:lang w:val="en-US"/>
              </w:rPr>
              <w:t xml:space="preserve">Aptamer against </w:t>
            </w:r>
            <w:proofErr w:type="spellStart"/>
            <w:r>
              <w:rPr>
                <w:rFonts w:ascii="Times New Roman" w:hAnsi="Times New Roman" w:cs="Times New Roman"/>
                <w:i/>
                <w:sz w:val="20"/>
                <w:szCs w:val="20"/>
                <w:lang w:val="en-US"/>
              </w:rPr>
              <w:t>o</w:t>
            </w:r>
            <w:r w:rsidRPr="00954602">
              <w:rPr>
                <w:rFonts w:ascii="Times New Roman" w:hAnsi="Times New Roman" w:cs="Times New Roman"/>
                <w:i/>
                <w:sz w:val="20"/>
                <w:szCs w:val="20"/>
                <w:lang w:val="en-US"/>
              </w:rPr>
              <w:t>xytetracycline</w:t>
            </w:r>
            <w:proofErr w:type="spellEnd"/>
          </w:p>
        </w:tc>
        <w:tc>
          <w:tcPr>
            <w:tcW w:w="2835" w:type="dxa"/>
            <w:vAlign w:val="center"/>
          </w:tcPr>
          <w:p w:rsidR="002B6607" w:rsidRPr="00BC1904" w:rsidRDefault="002B6607" w:rsidP="0098663C">
            <w:pPr>
              <w:jc w:val="center"/>
              <w:rPr>
                <w:rFonts w:ascii="Times New Roman" w:hAnsi="Times New Roman" w:cs="Times New Roman"/>
                <w:sz w:val="20"/>
                <w:szCs w:val="20"/>
                <w:lang w:val="en-US"/>
              </w:rPr>
            </w:pPr>
            <w:proofErr w:type="spellStart"/>
            <w:r w:rsidRPr="00BC1904">
              <w:rPr>
                <w:rFonts w:ascii="Times New Roman" w:hAnsi="Times New Roman" w:cs="Times New Roman"/>
                <w:sz w:val="20"/>
                <w:szCs w:val="20"/>
                <w:lang w:val="en-US"/>
              </w:rPr>
              <w:lastRenderedPageBreak/>
              <w:t>iORi</w:t>
            </w:r>
            <w:proofErr w:type="spellEnd"/>
          </w:p>
          <w:p w:rsidR="002B6607" w:rsidRPr="00BC1904" w:rsidRDefault="002B6607" w:rsidP="0098663C">
            <w:pPr>
              <w:jc w:val="center"/>
              <w:rPr>
                <w:rFonts w:ascii="Times New Roman" w:hAnsi="Times New Roman" w:cs="Times New Roman"/>
                <w:sz w:val="20"/>
                <w:szCs w:val="20"/>
                <w:lang w:val="en-US"/>
              </w:rPr>
            </w:pPr>
            <w:proofErr w:type="spellStart"/>
            <w:r w:rsidRPr="00BC1904">
              <w:rPr>
                <w:rFonts w:ascii="Times New Roman" w:hAnsi="Times New Roman" w:cs="Times New Roman"/>
                <w:sz w:val="20"/>
                <w:szCs w:val="20"/>
                <w:lang w:val="en-US"/>
              </w:rPr>
              <w:lastRenderedPageBreak/>
              <w:t>iINHIBITi</w:t>
            </w:r>
            <w:proofErr w:type="spellEnd"/>
          </w:p>
        </w:tc>
        <w:tc>
          <w:tcPr>
            <w:tcW w:w="2693" w:type="dxa"/>
            <w:vAlign w:val="center"/>
          </w:tcPr>
          <w:p w:rsidR="002B6607" w:rsidRPr="00954602"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lastRenderedPageBreak/>
              <w:t>T</w:t>
            </w:r>
            <w:r w:rsidRPr="00F05539">
              <w:rPr>
                <w:rFonts w:ascii="Times New Roman" w:hAnsi="Times New Roman" w:cs="Times New Roman"/>
                <w:sz w:val="20"/>
                <w:szCs w:val="20"/>
                <w:lang w:val="en-US"/>
              </w:rPr>
              <w:t xml:space="preserve">he use </w:t>
            </w:r>
            <w:r>
              <w:rPr>
                <w:rFonts w:ascii="Times New Roman" w:hAnsi="Times New Roman" w:cs="Times New Roman"/>
                <w:sz w:val="20"/>
                <w:szCs w:val="20"/>
                <w:lang w:val="en-US"/>
              </w:rPr>
              <w:t xml:space="preserve">of </w:t>
            </w:r>
            <w:proofErr w:type="spellStart"/>
            <w:r>
              <w:rPr>
                <w:rFonts w:ascii="Times New Roman" w:hAnsi="Times New Roman" w:cs="Times New Roman"/>
                <w:sz w:val="20"/>
                <w:szCs w:val="20"/>
                <w:lang w:val="en-US"/>
              </w:rPr>
              <w:t>bifunctional</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lang w:val="en-US"/>
              </w:rPr>
              <w:lastRenderedPageBreak/>
              <w:t>aptamer</w:t>
            </w:r>
          </w:p>
        </w:tc>
        <w:tc>
          <w:tcPr>
            <w:tcW w:w="2127" w:type="dxa"/>
            <w:vAlign w:val="center"/>
          </w:tcPr>
          <w:p w:rsidR="002B6607" w:rsidRPr="007751FF"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lastRenderedPageBreak/>
              <w:t>C</w:t>
            </w:r>
            <w:r w:rsidRPr="007751FF">
              <w:rPr>
                <w:rFonts w:ascii="Times New Roman" w:hAnsi="Times New Roman" w:cs="Times New Roman"/>
                <w:sz w:val="20"/>
                <w:szCs w:val="20"/>
                <w:lang w:val="en-US"/>
              </w:rPr>
              <w:t>hronopotentiometric</w:t>
            </w:r>
            <w:proofErr w:type="spellEnd"/>
            <w:r w:rsidRPr="007751FF">
              <w:rPr>
                <w:rFonts w:ascii="Times New Roman" w:hAnsi="Times New Roman" w:cs="Times New Roman"/>
                <w:sz w:val="20"/>
                <w:szCs w:val="20"/>
                <w:lang w:val="en-US"/>
              </w:rPr>
              <w:t xml:space="preserve"> </w:t>
            </w:r>
            <w:r w:rsidRPr="007751FF">
              <w:rPr>
                <w:rFonts w:ascii="Times New Roman" w:hAnsi="Times New Roman" w:cs="Times New Roman"/>
                <w:sz w:val="20"/>
                <w:szCs w:val="20"/>
                <w:lang w:val="en-US"/>
              </w:rPr>
              <w:lastRenderedPageBreak/>
              <w:t>detection</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hemin</w:t>
            </w:r>
            <w:proofErr w:type="spellEnd"/>
            <w:r>
              <w:rPr>
                <w:rFonts w:ascii="Times New Roman" w:hAnsi="Times New Roman" w:cs="Times New Roman"/>
                <w:sz w:val="20"/>
                <w:szCs w:val="20"/>
                <w:lang w:val="en-US"/>
              </w:rPr>
              <w:t xml:space="preserve">-containing </w:t>
            </w:r>
            <w:proofErr w:type="spellStart"/>
            <w:r>
              <w:rPr>
                <w:rFonts w:ascii="Times New Roman" w:hAnsi="Times New Roman" w:cs="Times New Roman"/>
                <w:sz w:val="20"/>
                <w:szCs w:val="20"/>
                <w:lang w:val="en-US"/>
              </w:rPr>
              <w:t>DNAzyme</w:t>
            </w:r>
            <w:proofErr w:type="spellEnd"/>
            <w:r>
              <w:rPr>
                <w:rFonts w:ascii="Times New Roman" w:hAnsi="Times New Roman" w:cs="Times New Roman"/>
                <w:sz w:val="20"/>
                <w:szCs w:val="20"/>
                <w:lang w:val="en-US"/>
              </w:rPr>
              <w:t xml:space="preserve"> reaction)</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lastRenderedPageBreak/>
              <w:t>60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"10.1021/acs.analchem.8b05971", "ISSN" : "15206882", "PMID" : "30648390", "abstract" : "Conventional potentiometric ion sensors that rely on a specific ion carrier in a polymeric membrane can hardly achieve multianalyte detection. Inspired by the remarkable ability of built-in logic gate sensors for multianalyte detection, herein we report a potentiometric aptasensing platform based on a G-quadruplex/hemin DNAzyme and logic gate operations for determination of two analytes using a single membrane electrode. A bifunctional probe with two aptamer units and a signal reporter oligonucleotide with a DNAzyme sequence are assembled on the magnetic beads to form a DNA hybrid structure. The \"OR\" and \"INHIBIT\" logic functions can be performed by using the two aptamers and their targets as inputs, and using the chronopotentiometric response based on the G-quadruplex/hemin DNAzyme-H 2 O 2 -mediated oxidation of 3,3\u2032,5,5\u2032-tetramethylbenzidine as output. Kanamycin and oxytetracycline, as commonly used antibiotics, have been employed as the models and successfully measured.", "author" : [ { "dropping-particle" : "", "family" : "Liu", "given" : "Shuwen", "non-dropping-particle" : "", "parse-names" : false, "suffix" : "" }, { "dropping-particle" : "", "family" : "Ding", "given" : "Jiawang", "non-dropping-particle" : "", "parse-names" : false, "suffix" : "" }, { "dropping-particle" : "", "family" : "Qin", "given" : "Wei", "non-dropping-particle" : "", "parse-names" : false, "suffix" : "" } ], "container-title" : "Analytical Chemistry", "id" : "ITEM-1", "issue" : "4", "issued" : { "date-parts" : [ [ "2019" ] ] }, "page" : "3170-3176", "title" : "Dual-Analyte Chronopotentiometric Aptasensing Platform Based on a G-Quadruplex/Hemin DNAzyme and Logic Gate Operations", "type" : "article-journal", "volume" : "91" }, "uris" : [ "http://www.mendeley.com/documents/?uuid=54c1ced3-541a-4cf2-900c-f9eb9c20b2b4" ] } ], "mendeley" : { "formattedCitation" : "[30]", "plainTextFormattedCitation" : "[30]", "previouslyFormattedCitation" : "[30]"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[30]</w:t>
            </w:r>
            <w:r w:rsidRPr="00591BD9">
              <w:rPr>
                <w:rFonts w:ascii="Times New Roman" w:hAnsi="Times New Roman" w:cs="Times New Roman"/>
                <w:sz w:val="20"/>
                <w:szCs w:val="20"/>
                <w:lang w:val="en-US"/>
              </w:rPr>
              <w:fldChar w:fldCharType="end"/>
            </w:r>
          </w:p>
        </w:tc>
      </w:tr>
      <w:tr w:rsidR="002B6607" w:rsidRPr="00992617" w:rsidTr="0098663C">
        <w:tc>
          <w:tcPr>
            <w:tcW w:w="1951"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lastRenderedPageBreak/>
              <w:t>Thrombin</w:t>
            </w:r>
          </w:p>
          <w:p w:rsidR="002B6607" w:rsidRPr="0099261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ATP</w:t>
            </w:r>
          </w:p>
        </w:tc>
        <w:tc>
          <w:tcPr>
            <w:tcW w:w="2835" w:type="dxa"/>
            <w:vAlign w:val="center"/>
          </w:tcPr>
          <w:p w:rsidR="002B6607" w:rsidRPr="00992617" w:rsidRDefault="002B6607" w:rsidP="0098663C">
            <w:pPr>
              <w:jc w:val="center"/>
              <w:rPr>
                <w:rFonts w:ascii="Times New Roman" w:hAnsi="Times New Roman" w:cs="Times New Roman"/>
                <w:sz w:val="20"/>
                <w:szCs w:val="20"/>
                <w:lang w:val="en-US"/>
              </w:rPr>
            </w:pPr>
            <w:proofErr w:type="spellStart"/>
            <w:r w:rsidRPr="00992617">
              <w:rPr>
                <w:rFonts w:ascii="Times New Roman" w:hAnsi="Times New Roman" w:cs="Times New Roman"/>
                <w:sz w:val="20"/>
                <w:szCs w:val="20"/>
                <w:lang w:val="en-US"/>
              </w:rPr>
              <w:t>iORi</w:t>
            </w:r>
            <w:proofErr w:type="spellEnd"/>
          </w:p>
          <w:p w:rsidR="002B6607" w:rsidRPr="00992617" w:rsidRDefault="002B6607" w:rsidP="0098663C">
            <w:pPr>
              <w:jc w:val="center"/>
              <w:rPr>
                <w:rFonts w:ascii="Times New Roman" w:hAnsi="Times New Roman" w:cs="Times New Roman"/>
                <w:sz w:val="20"/>
                <w:szCs w:val="20"/>
                <w:lang w:val="en-US"/>
              </w:rPr>
            </w:pPr>
            <w:proofErr w:type="spellStart"/>
            <w:r w:rsidRPr="00992617">
              <w:rPr>
                <w:rFonts w:ascii="Times New Roman" w:hAnsi="Times New Roman" w:cs="Times New Roman"/>
                <w:sz w:val="20"/>
                <w:szCs w:val="20"/>
                <w:lang w:val="en-US"/>
              </w:rPr>
              <w:t>iANDi</w:t>
            </w:r>
            <w:proofErr w:type="spellEnd"/>
          </w:p>
          <w:p w:rsidR="002B6607" w:rsidRPr="00992617" w:rsidRDefault="002B6607" w:rsidP="0098663C">
            <w:pPr>
              <w:jc w:val="center"/>
              <w:rPr>
                <w:rFonts w:ascii="Times New Roman" w:hAnsi="Times New Roman" w:cs="Times New Roman"/>
                <w:sz w:val="20"/>
                <w:szCs w:val="20"/>
                <w:lang w:val="en-US"/>
              </w:rPr>
            </w:pPr>
            <w:proofErr w:type="spellStart"/>
            <w:r w:rsidRPr="00992617">
              <w:rPr>
                <w:rFonts w:ascii="Times New Roman" w:hAnsi="Times New Roman" w:cs="Times New Roman"/>
                <w:sz w:val="20"/>
                <w:szCs w:val="20"/>
                <w:lang w:val="en-US"/>
              </w:rPr>
              <w:t>iNORi</w:t>
            </w:r>
            <w:proofErr w:type="spellEnd"/>
          </w:p>
          <w:p w:rsidR="002B6607" w:rsidRPr="00992617" w:rsidRDefault="002B6607" w:rsidP="0098663C">
            <w:pPr>
              <w:jc w:val="center"/>
              <w:rPr>
                <w:rFonts w:ascii="Times New Roman" w:hAnsi="Times New Roman" w:cs="Times New Roman"/>
                <w:sz w:val="20"/>
                <w:szCs w:val="20"/>
                <w:lang w:val="en-US"/>
              </w:rPr>
            </w:pPr>
            <w:proofErr w:type="spellStart"/>
            <w:r w:rsidRPr="00992617">
              <w:rPr>
                <w:rFonts w:ascii="Times New Roman" w:hAnsi="Times New Roman" w:cs="Times New Roman"/>
                <w:sz w:val="20"/>
                <w:szCs w:val="20"/>
                <w:lang w:val="en-US"/>
              </w:rPr>
              <w:t>iNANDi</w:t>
            </w:r>
            <w:proofErr w:type="spellEnd"/>
          </w:p>
        </w:tc>
        <w:tc>
          <w:tcPr>
            <w:tcW w:w="2693"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 xml:space="preserve">The use of a hybrid DNA based on cleaved and combined parts of aptamers; The use of split aptamer into two parts; switching of an aptamer from </w:t>
            </w:r>
            <w:proofErr w:type="spellStart"/>
            <w:r w:rsidRPr="00992617">
              <w:rPr>
                <w:rFonts w:ascii="Times New Roman" w:hAnsi="Times New Roman" w:cs="Times New Roman"/>
                <w:sz w:val="20"/>
                <w:szCs w:val="20"/>
                <w:lang w:val="en-US"/>
              </w:rPr>
              <w:t>dsDNA</w:t>
            </w:r>
            <w:proofErr w:type="spellEnd"/>
            <w:r w:rsidRPr="00992617">
              <w:rPr>
                <w:rFonts w:ascii="Times New Roman" w:hAnsi="Times New Roman" w:cs="Times New Roman"/>
                <w:sz w:val="20"/>
                <w:szCs w:val="20"/>
                <w:lang w:val="en-US"/>
              </w:rPr>
              <w:t xml:space="preserve"> to a complex with a target</w:t>
            </w:r>
          </w:p>
        </w:tc>
        <w:tc>
          <w:tcPr>
            <w:tcW w:w="2127" w:type="dxa"/>
            <w:vAlign w:val="center"/>
          </w:tcPr>
          <w:p w:rsidR="002B6607" w:rsidRPr="0099261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Reduction current (HRP)</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88</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"10.1016/j.bios.2012.10.030", "ISSN" : "09565663", "PMID" : "23202336", "abstract" : "A series of enzyme-amplified electronic logic gates (OR, AND, NOR, and NAND) for one-spot simultaneous monitoring of small molecules and proteins has been constructed at the molecular level. This simple but universal system is based on target-induced self-assembly of split aptamer fragments or target-induced conformational changes of intact aptamers. For the OR and AND logic operations, the split aptamer fragments were used as the molecular recognition components, while for the NOR and NAND logic operations, the intact aptamers were used as the molecular recognition components. Using ATP and thrombin as inputs, the split/intact aptamers as molecular recognition elements, biotin as a tracer, and SA-HR as a reporter molecule, the electronic logic operations can be easily realized by generating amplified current signals as outputs. The logic system is robust and can be applied to human serum samples with excellent selectivity. Importantly, the reversibility of these logic gates makes the electronic system feasible to perform the set-reset function. Our work not only provides a \"smart\" and flexible logic platform for ATP and thrombin sensing, but also can be expanded for other ligands assay, such as adenosine monophosphate (AMP), theophylline, and cocaine, by rationally splitting their aptamer sequences into two fragments. \u00a9 2012 Elsevier B.V.", "author" : [ { "dropping-particle" : "", "family" : "Chen", "given" : "Junhua", "non-dropping-particle" : "", "parse-names" : false, "suffix" : "" }, { "dropping-particle" : "", "family" : "Zeng", "given" : "Lingwen", "non-dropping-particle" : "", "parse-names" : false, "suffix" : "" } ], "container-title" : "Biosensors and Bioelectronics", "id" : "ITEM-1", "issue" : "1", "issued" : { "date-parts" : [ [ "2013" ] ] }, "page" : "93-99", "title" : "Enzyme-amplified electronic logic gates based on split/intact aptamers", "type" : "article-journal", "volume" : "42" }, "uris" : [ "http://www.mendeley.com/documents/?uuid=4086c234-445f-40a6-a72f-c60ba9c95efc" ] } ], "mendeley" : { "formattedCitation" : "[31]", "plainTextFormattedCitation" : "[31]", "previouslyFormattedCitation" : "[31]"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[31]</w:t>
            </w:r>
            <w:r w:rsidRPr="00591BD9">
              <w:rPr>
                <w:rFonts w:ascii="Times New Roman" w:hAnsi="Times New Roman" w:cs="Times New Roman"/>
                <w:sz w:val="20"/>
                <w:szCs w:val="20"/>
                <w:lang w:val="en-US"/>
              </w:rPr>
              <w:fldChar w:fldCharType="end"/>
            </w:r>
          </w:p>
        </w:tc>
      </w:tr>
      <w:tr w:rsidR="002B6607" w:rsidRPr="00992617" w:rsidTr="0098663C">
        <w:trPr>
          <w:trHeight w:val="517"/>
        </w:trPr>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proofErr w:type="spellStart"/>
            <w:r w:rsidRPr="00591BD9">
              <w:rPr>
                <w:rFonts w:ascii="Times New Roman" w:hAnsi="Times New Roman" w:cs="Times New Roman"/>
                <w:b/>
                <w:sz w:val="20"/>
                <w:szCs w:val="20"/>
              </w:rPr>
              <w:t>Biofuel</w:t>
            </w:r>
            <w:proofErr w:type="spellEnd"/>
            <w:r w:rsidRPr="00591BD9">
              <w:rPr>
                <w:rFonts w:ascii="Times New Roman" w:hAnsi="Times New Roman" w:cs="Times New Roman"/>
                <w:b/>
                <w:sz w:val="20"/>
                <w:szCs w:val="20"/>
              </w:rPr>
              <w:t xml:space="preserve"> </w:t>
            </w:r>
            <w:proofErr w:type="spellStart"/>
            <w:r w:rsidRPr="00591BD9">
              <w:rPr>
                <w:rFonts w:ascii="Times New Roman" w:hAnsi="Times New Roman" w:cs="Times New Roman"/>
                <w:b/>
                <w:sz w:val="20"/>
                <w:szCs w:val="20"/>
              </w:rPr>
              <w:t>cells</w:t>
            </w:r>
            <w:proofErr w:type="spellEnd"/>
          </w:p>
        </w:tc>
      </w:tr>
      <w:tr w:rsidR="002B6607" w:rsidRPr="00992617" w:rsidTr="0098663C">
        <w:tc>
          <w:tcPr>
            <w:tcW w:w="1951"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Thrombin</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Lysozyme</w:t>
            </w:r>
          </w:p>
        </w:tc>
        <w:tc>
          <w:tcPr>
            <w:tcW w:w="2835" w:type="dxa"/>
            <w:vAlign w:val="center"/>
          </w:tcPr>
          <w:p w:rsidR="002B6607" w:rsidRPr="00992617" w:rsidRDefault="002B6607" w:rsidP="0098663C">
            <w:pPr>
              <w:jc w:val="center"/>
              <w:rPr>
                <w:rFonts w:ascii="Times New Roman" w:hAnsi="Times New Roman" w:cs="Times New Roman"/>
                <w:sz w:val="20"/>
                <w:szCs w:val="20"/>
                <w:lang w:val="en-US"/>
              </w:rPr>
            </w:pPr>
            <w:proofErr w:type="spellStart"/>
            <w:r w:rsidRPr="00992617">
              <w:rPr>
                <w:rFonts w:ascii="Times New Roman" w:hAnsi="Times New Roman" w:cs="Times New Roman"/>
                <w:sz w:val="20"/>
                <w:szCs w:val="20"/>
                <w:lang w:val="en-US"/>
              </w:rPr>
              <w:t>iNANDi</w:t>
            </w:r>
            <w:proofErr w:type="spellEnd"/>
          </w:p>
        </w:tc>
        <w:tc>
          <w:tcPr>
            <w:tcW w:w="2693"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Formation of a complex of an aptamer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Open circuit voltage</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Not defined</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"10.1021/ja910634e", "ISSN" : "00027863", "PMID" : "20121098", "abstract" : "(Figure Presented) This communication demonstrates for the first time the controlled power release of biofuel cells (BFCs) by aptamer logic systems processed according to the Boolean logic operations \"programmed\" into the biocomputing systems. On the basis of the built-in Boolean NAND logic, the fabricated aptamer-based BFCs logically controlled by biochemical signals enabled us to construct self-powered and intelligent logic aptasensors that can determine whether the two specific targets are both present in a sample. Copyright \u00a9 2010 American Chemical Society.", "author" : [ { "dropping-particle" : "", "family" : "Zhou", "given" : "Ming", "non-dropping-particle" : "", "parse-names" : false, "suffix" : "" }, { "dropping-particle" : "", "family" : "Du", "given" : "Yan", "non-dropping-particle" : "", "parse-names" : false, "suffix" : "" }, { "dropping-particle" : "", "family" : "Chen", "given" : "Chaogui", "non-dropping-particle" : "", "parse-names" : false, "suffix" : "" }, { "dropping-particle" : "", "family" : "Li", "given" : "Bingling", "non-dropping-particle" : "", "parse-names" : false, "suffix" : "" }, { "dropping-particle" : "", "family" : "Wen", "given" : "Dan", "non-dropping-particle" : "", "parse-names" : false, "suffix" : "" }, { "dropping-particle" : "", "family" : "Dong", "given" : "Shaojun", "non-dropping-particle" : "", "parse-names" : false, "suffix" : "" }, { "dropping-particle" : "", "family" : "Wang", "given" : "Erkang", "non-dropping-particle" : "", "parse-names" : false, "suffix" : "" } ], "container-title" : "Journal of the American Chemical Society", "id" : "ITEM-1", "issue" : "7", "issued" : { "date-parts" : [ [ "2010" ] ] }, "page" : "2172-2174", "title" : "Aptamer-controlled biofuel cells in logic systems and used as self-powered and intelligent logic aptasensors", "type" : "article-journal", "volume" : "132" }, "uris" : [ "http://www.mendeley.com/documents/?uuid=e3f69880-5ae7-42ec-8a9c-a45e59c38c47" ] } ], "mendeley" : { "formattedCitation" : "[32]", "plainTextFormattedCitation" : "[32]", "previouslyFormattedCitation" : "[32]"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[32]</w:t>
            </w:r>
            <w:r w:rsidRPr="00591BD9">
              <w:rPr>
                <w:rFonts w:ascii="Times New Roman" w:hAnsi="Times New Roman" w:cs="Times New Roman"/>
                <w:sz w:val="20"/>
                <w:szCs w:val="20"/>
                <w:lang w:val="en-US"/>
              </w:rPr>
              <w:fldChar w:fldCharType="end"/>
            </w:r>
          </w:p>
        </w:tc>
      </w:tr>
      <w:tr w:rsidR="002B6607" w:rsidRPr="00992617" w:rsidTr="0098663C">
        <w:tc>
          <w:tcPr>
            <w:tcW w:w="1951"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Thrombin</w:t>
            </w:r>
          </w:p>
          <w:p w:rsidR="002B6607" w:rsidRPr="0099261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ATP</w:t>
            </w:r>
          </w:p>
        </w:tc>
        <w:tc>
          <w:tcPr>
            <w:tcW w:w="2835" w:type="dxa"/>
            <w:vAlign w:val="center"/>
          </w:tcPr>
          <w:p w:rsidR="002B6607" w:rsidRPr="0099261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ON-OFF</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RESET</w:t>
            </w:r>
          </w:p>
        </w:tc>
        <w:tc>
          <w:tcPr>
            <w:tcW w:w="2693"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 xml:space="preserve">The use of </w:t>
            </w:r>
            <w:proofErr w:type="spellStart"/>
            <w:r w:rsidRPr="00992617">
              <w:rPr>
                <w:rFonts w:ascii="Times New Roman" w:hAnsi="Times New Roman" w:cs="Times New Roman"/>
                <w:sz w:val="20"/>
                <w:szCs w:val="20"/>
                <w:lang w:val="en-US"/>
              </w:rPr>
              <w:t>bifunctional</w:t>
            </w:r>
            <w:proofErr w:type="spellEnd"/>
            <w:r w:rsidRPr="00992617">
              <w:rPr>
                <w:rFonts w:ascii="Times New Roman" w:hAnsi="Times New Roman" w:cs="Times New Roman"/>
                <w:sz w:val="20"/>
                <w:szCs w:val="20"/>
                <w:lang w:val="en-US"/>
              </w:rPr>
              <w:t xml:space="preserve"> aptamer; switching of an aptamer from </w:t>
            </w:r>
            <w:proofErr w:type="spellStart"/>
            <w:r w:rsidRPr="00992617">
              <w:rPr>
                <w:rFonts w:ascii="Times New Roman" w:hAnsi="Times New Roman" w:cs="Times New Roman"/>
                <w:sz w:val="20"/>
                <w:szCs w:val="20"/>
                <w:lang w:val="en-US"/>
              </w:rPr>
              <w:t>dsDNA</w:t>
            </w:r>
            <w:proofErr w:type="spellEnd"/>
            <w:r w:rsidRPr="00992617">
              <w:rPr>
                <w:rFonts w:ascii="Times New Roman" w:hAnsi="Times New Roman" w:cs="Times New Roman"/>
                <w:sz w:val="20"/>
                <w:szCs w:val="20"/>
                <w:lang w:val="en-US"/>
              </w:rPr>
              <w:t xml:space="preserve"> to a complex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Current density on the cathode</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rPr>
              <w:t>12</w:t>
            </w:r>
            <w:r w:rsidRPr="00591BD9">
              <w:rPr>
                <w:rFonts w:ascii="Times New Roman" w:hAnsi="Times New Roman" w:cs="Times New Roman"/>
                <w:sz w:val="20"/>
                <w:szCs w:val="20"/>
                <w:lang w:val="en-US"/>
              </w:rPr>
              <w:t>0</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"10.1039/c0lc00009d", "ISSN" : "14730189", "abstract" : "The development of microfluidic devices has been spurred by the desire to produce low-cost point-of-care diagnostics and environmental monitoring devices. By combining the adaptive behavior of microfluidic biofuel cells (micro-BFCs) self-regulating the power release with aptamer IMP logic, we constructed a novel IMP-Reset gate-based reusable and self-powered on-chip aptasensor, which can be used to logically determine the presence of one specific target in the absence of another target in complex physiological samples (such as human serum) in a single test. \u00a9 The Royal Society of Chemistry 2010.", "author" : [ { "dropping-particle" : "", "family" : "Zhou", "given" : "Ming", "non-dropping-particle" : "", "parse-names" : false, "suffix" : "" }, { "dropping-particle" : "", "family" : "Chen", "given" : "Chaogui", "non-dropping-particle" : "", "parse-names" : false, "suffix" : "" }, { "dropping-particle" : "", "family" : "Du", "given" : "Yan", "non-dropping-particle" : "", "parse-names" : false, "suffix" : "" }, { "dropping-particle" : "", "family" : "Li", "given" : "Bingling", "non-dropping-particle" : "", "parse-names" : false, "suffix" : "" }, { "dropping-particle" : "", "family" : "Wen", "given" : "Dan", "non-dropping-particle" : "", "parse-names" : false, "suffix" : "" }, { "dropping-particle" : "", "family" : "Dong", "given" : "Shaojun", "non-dropping-particle" : "", "parse-names" : false, "suffix" : "" }, { "dropping-particle" : "", "family" : "Wang", "given" : "Erkang", "non-dropping-particle" : "", "parse-names" : false, "suffix" : "" } ], "container-title" : "Lab on a Chip", "id" : "ITEM-1", "issue" : "21", "issued" : { "date-parts" : [ [ "2010" ] ] }, "page" : "2932-2936", "title" : "An IMP-Reset gate-based reusable and self-powered \"smart\" logic aptasensor on a microfluidic biofuel cell", "type" : "article-journal", "volume" : "10" }, "uris" : [ "http://www.mendeley.com/documents/?uuid=a41a00c4-7d7d-4dba-a56c-89e8e1ee3040" ] } ], "mendeley" : { "formattedCitation" : "[33]", "plainTextFormattedCitation" : "[33]", "previouslyFormattedCitation" : "[33]"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[33]</w:t>
            </w:r>
            <w:r w:rsidRPr="00591BD9">
              <w:rPr>
                <w:rFonts w:ascii="Times New Roman" w:hAnsi="Times New Roman" w:cs="Times New Roman"/>
                <w:sz w:val="20"/>
                <w:szCs w:val="20"/>
                <w:lang w:val="en-US"/>
              </w:rPr>
              <w:fldChar w:fldCharType="end"/>
            </w:r>
          </w:p>
        </w:tc>
      </w:tr>
      <w:tr w:rsidR="002B6607" w:rsidRPr="001008F3" w:rsidTr="0098663C">
        <w:tc>
          <w:tcPr>
            <w:tcW w:w="1951" w:type="dxa"/>
            <w:vAlign w:val="center"/>
          </w:tcPr>
          <w:p w:rsidR="002B6607" w:rsidRPr="0099261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rPr>
              <w:t>ATP</w:t>
            </w:r>
          </w:p>
          <w:p w:rsidR="002B6607" w:rsidRPr="00992617" w:rsidRDefault="002B6607" w:rsidP="0098663C">
            <w:pPr>
              <w:jc w:val="center"/>
              <w:rPr>
                <w:rFonts w:ascii="Times New Roman" w:hAnsi="Times New Roman" w:cs="Times New Roman"/>
                <w:i/>
                <w:sz w:val="20"/>
                <w:szCs w:val="20"/>
                <w:lang w:val="en-US"/>
              </w:rPr>
            </w:pPr>
            <w:proofErr w:type="spellStart"/>
            <w:r w:rsidRPr="00992617">
              <w:rPr>
                <w:rFonts w:ascii="Times New Roman" w:hAnsi="Times New Roman" w:cs="Times New Roman"/>
                <w:i/>
                <w:sz w:val="20"/>
                <w:szCs w:val="20"/>
              </w:rPr>
              <w:t>Adenosine</w:t>
            </w:r>
            <w:proofErr w:type="spellEnd"/>
            <w:r w:rsidRPr="00992617">
              <w:rPr>
                <w:rFonts w:ascii="Times New Roman" w:hAnsi="Times New Roman" w:cs="Times New Roman"/>
                <w:i/>
                <w:sz w:val="20"/>
                <w:szCs w:val="20"/>
              </w:rPr>
              <w:t xml:space="preserve"> </w:t>
            </w:r>
            <w:proofErr w:type="spellStart"/>
            <w:r w:rsidRPr="00992617">
              <w:rPr>
                <w:rFonts w:ascii="Times New Roman" w:hAnsi="Times New Roman" w:cs="Times New Roman"/>
                <w:i/>
                <w:sz w:val="20"/>
                <w:szCs w:val="20"/>
              </w:rPr>
              <w:t>deaminase</w:t>
            </w:r>
            <w:proofErr w:type="spellEnd"/>
          </w:p>
        </w:tc>
        <w:tc>
          <w:tcPr>
            <w:tcW w:w="2835" w:type="dxa"/>
            <w:vAlign w:val="center"/>
          </w:tcPr>
          <w:p w:rsidR="002B6607" w:rsidRPr="00992617" w:rsidRDefault="002B6607" w:rsidP="0098663C">
            <w:pPr>
              <w:jc w:val="center"/>
              <w:rPr>
                <w:rFonts w:ascii="Times New Roman" w:hAnsi="Times New Roman" w:cs="Times New Roman"/>
                <w:sz w:val="20"/>
                <w:szCs w:val="20"/>
              </w:rPr>
            </w:pPr>
            <w:proofErr w:type="spellStart"/>
            <w:r w:rsidRPr="00992617">
              <w:rPr>
                <w:rFonts w:ascii="Times New Roman" w:hAnsi="Times New Roman" w:cs="Times New Roman"/>
                <w:sz w:val="20"/>
                <w:szCs w:val="20"/>
                <w:lang w:val="en-US"/>
              </w:rPr>
              <w:t>iINHIBITi</w:t>
            </w:r>
            <w:proofErr w:type="spellEnd"/>
          </w:p>
        </w:tc>
        <w:tc>
          <w:tcPr>
            <w:tcW w:w="2693"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Switching of an aptamer from hairpin DNA to a complex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Cathode current</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t>120</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"10.1039/c2cc30464c", "ISSN" : "1364548X", "PMID" : "22398839", "abstract" : "The integration of a biosensor employing a DNAzyme logic system within a biofuel cell is presented. The self-powered DNAzyme logic biosensor conforms with INH logic operation and generates power output in accordance with a truth table. The new concept of logic-activated DNAzyme by the input signals has wide-ranging implications in the self-powered diagnostics domain. \u00a9 2012 The Royal Society of Chemistry.", "author" : [ { "dropping-particle" : "", "family" : "Zhou", "given" : "Ming", "non-dropping-particle" : "", "parse-names" : false, "suffix" : "" }, { "dropping-particle" : "", "family" : "Kuralay", "given" : "Filiz", "non-dropping-particle" : "", "parse-names" : false, "suffix" : "" }, { "dropping-particle" : "", "family" : "Windmiller", "given" : "Joshua R.", "non-dropping-particle" : "", "parse-names" : false, "suffix" : "" }, { "dropping-particle" : "", "family" : "Wang", "given" : "Joseph", "non-dropping-particle" : "", "parse-names" : false, "suffix" : "" } ], "container-title" : "Chemical Communications", "id" : "ITEM-1", "issue" : "32", "issued" : { "date-parts" : [ [ "2012" ] ] }, "page" : "3815-3817", "title" : "DNAzyme logic-controlled biofuel cells for self-powered biosensors", "type" : "article-journal", "volume" : "48" }, "uris" : [ "http://www.mendeley.com/documents/?uuid=f69a247d-5b2e-486d-aee0-ff4220f122b5" ] } ], "mendeley" : { "formattedCitation" : "[34]", "plainTextFormattedCitation" : "[34]", "previouslyFormattedCitation" : "[34]"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[34]</w:t>
            </w:r>
            <w:r w:rsidRPr="00591BD9">
              <w:rPr>
                <w:rFonts w:ascii="Times New Roman" w:hAnsi="Times New Roman" w:cs="Times New Roman"/>
                <w:sz w:val="20"/>
                <w:szCs w:val="20"/>
                <w:lang w:val="en-US"/>
              </w:rPr>
              <w:fldChar w:fldCharType="end"/>
            </w:r>
          </w:p>
        </w:tc>
      </w:tr>
      <w:tr w:rsidR="002B6607" w:rsidRPr="00BA0EA8" w:rsidTr="0098663C">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proofErr w:type="spellStart"/>
            <w:r w:rsidRPr="00591BD9">
              <w:rPr>
                <w:rFonts w:ascii="Times New Roman" w:hAnsi="Times New Roman" w:cs="Times New Roman"/>
                <w:b/>
                <w:sz w:val="20"/>
                <w:szCs w:val="20"/>
              </w:rPr>
              <w:t>Other</w:t>
            </w:r>
            <w:proofErr w:type="spellEnd"/>
          </w:p>
        </w:tc>
      </w:tr>
      <w:tr w:rsidR="002B6607" w:rsidRPr="001008F3" w:rsidTr="0098663C">
        <w:tc>
          <w:tcPr>
            <w:tcW w:w="1951" w:type="dxa"/>
            <w:vAlign w:val="center"/>
          </w:tcPr>
          <w:p w:rsidR="002B6607" w:rsidRPr="001008F3" w:rsidRDefault="002B6607" w:rsidP="0098663C">
            <w:pPr>
              <w:jc w:val="center"/>
              <w:rPr>
                <w:rFonts w:ascii="Times New Roman" w:hAnsi="Times New Roman" w:cs="Times New Roman"/>
                <w:sz w:val="20"/>
                <w:szCs w:val="20"/>
              </w:rPr>
            </w:pPr>
            <w:r>
              <w:rPr>
                <w:rFonts w:ascii="Times New Roman" w:hAnsi="Times New Roman" w:cs="Times New Roman"/>
                <w:sz w:val="20"/>
                <w:szCs w:val="20"/>
                <w:lang w:val="en-US"/>
              </w:rPr>
              <w:t>ATP</w:t>
            </w:r>
          </w:p>
          <w:p w:rsidR="002B6607" w:rsidRPr="001008F3" w:rsidRDefault="002B6607" w:rsidP="0098663C">
            <w:pPr>
              <w:jc w:val="center"/>
              <w:rPr>
                <w:rFonts w:ascii="Times New Roman" w:hAnsi="Times New Roman" w:cs="Times New Roman"/>
                <w:i/>
                <w:sz w:val="20"/>
                <w:szCs w:val="20"/>
              </w:rPr>
            </w:pPr>
            <w:proofErr w:type="spellStart"/>
            <w:r>
              <w:rPr>
                <w:rFonts w:ascii="Times New Roman" w:hAnsi="Times New Roman" w:cs="Times New Roman"/>
                <w:i/>
                <w:sz w:val="20"/>
                <w:szCs w:val="20"/>
                <w:lang w:val="en-US"/>
              </w:rPr>
              <w:t>ssDNA</w:t>
            </w:r>
            <w:proofErr w:type="spellEnd"/>
          </w:p>
        </w:tc>
        <w:tc>
          <w:tcPr>
            <w:tcW w:w="2835" w:type="dxa"/>
            <w:vAlign w:val="center"/>
          </w:tcPr>
          <w:p w:rsidR="002B6607" w:rsidRPr="001008F3" w:rsidRDefault="002B6607" w:rsidP="0098663C">
            <w:pPr>
              <w:jc w:val="center"/>
              <w:rPr>
                <w:rFonts w:ascii="Times New Roman" w:hAnsi="Times New Roman" w:cs="Times New Roman"/>
                <w:sz w:val="20"/>
                <w:szCs w:val="20"/>
                <w:lang w:val="en-US"/>
              </w:rPr>
            </w:pPr>
            <w:r w:rsidRPr="001008F3">
              <w:rPr>
                <w:rFonts w:ascii="Times New Roman" w:hAnsi="Times New Roman" w:cs="Times New Roman"/>
                <w:sz w:val="20"/>
                <w:szCs w:val="20"/>
                <w:lang w:val="en-US"/>
              </w:rPr>
              <w:t>IMPLICATION (</w:t>
            </w:r>
            <w:proofErr w:type="spellStart"/>
            <w:r w:rsidRPr="001008F3">
              <w:rPr>
                <w:rFonts w:ascii="Times New Roman" w:hAnsi="Times New Roman" w:cs="Times New Roman"/>
                <w:sz w:val="20"/>
                <w:szCs w:val="20"/>
                <w:lang w:val="en-US"/>
              </w:rPr>
              <w:t>if</w:t>
            </w:r>
            <w:proofErr w:type="gramStart"/>
            <w:r w:rsidRPr="001008F3">
              <w:rPr>
                <w:rFonts w:ascii="Times New Roman" w:hAnsi="Times New Roman" w:cs="Times New Roman"/>
                <w:sz w:val="20"/>
                <w:szCs w:val="20"/>
                <w:lang w:val="en-US"/>
              </w:rPr>
              <w:t>..</w:t>
            </w:r>
            <w:proofErr w:type="gramEnd"/>
            <w:r w:rsidRPr="001008F3">
              <w:rPr>
                <w:rFonts w:ascii="Times New Roman" w:hAnsi="Times New Roman" w:cs="Times New Roman"/>
                <w:sz w:val="20"/>
                <w:szCs w:val="20"/>
                <w:lang w:val="en-US"/>
              </w:rPr>
              <w:t>then</w:t>
            </w:r>
            <w:proofErr w:type="spellEnd"/>
            <w:r w:rsidRPr="001008F3">
              <w:rPr>
                <w:rFonts w:ascii="Times New Roman" w:hAnsi="Times New Roman" w:cs="Times New Roman"/>
                <w:sz w:val="20"/>
                <w:szCs w:val="20"/>
                <w:lang w:val="en-US"/>
              </w:rPr>
              <w:t>)</w:t>
            </w:r>
          </w:p>
          <w:p w:rsidR="002B6607" w:rsidRPr="001008F3" w:rsidRDefault="002B6607" w:rsidP="0098663C">
            <w:pPr>
              <w:jc w:val="center"/>
              <w:rPr>
                <w:rFonts w:ascii="Times New Roman" w:hAnsi="Times New Roman" w:cs="Times New Roman"/>
                <w:sz w:val="20"/>
                <w:szCs w:val="20"/>
                <w:lang w:val="en-US"/>
              </w:rPr>
            </w:pPr>
            <w:r w:rsidRPr="001008F3">
              <w:rPr>
                <w:rFonts w:ascii="Times New Roman" w:hAnsi="Times New Roman" w:cs="Times New Roman"/>
                <w:sz w:val="20"/>
                <w:szCs w:val="20"/>
                <w:lang w:val="en-US"/>
              </w:rPr>
              <w:t>ON-OFF</w:t>
            </w:r>
          </w:p>
        </w:tc>
        <w:tc>
          <w:tcPr>
            <w:tcW w:w="2693" w:type="dxa"/>
            <w:vAlign w:val="center"/>
          </w:tcPr>
          <w:p w:rsidR="002B6607" w:rsidRPr="00BA0EA8"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S</w:t>
            </w:r>
            <w:r w:rsidRPr="001008F3">
              <w:rPr>
                <w:rFonts w:ascii="Times New Roman" w:hAnsi="Times New Roman" w:cs="Times New Roman"/>
                <w:sz w:val="20"/>
                <w:szCs w:val="20"/>
                <w:lang w:val="en-US"/>
              </w:rPr>
              <w:t xml:space="preserve">witching of an aptamer from </w:t>
            </w:r>
            <w:proofErr w:type="spellStart"/>
            <w:r>
              <w:rPr>
                <w:rFonts w:ascii="Times New Roman" w:hAnsi="Times New Roman" w:cs="Times New Roman"/>
                <w:sz w:val="20"/>
                <w:szCs w:val="20"/>
                <w:lang w:val="en-US"/>
              </w:rPr>
              <w:t>ds</w:t>
            </w:r>
            <w:r w:rsidRPr="001008F3">
              <w:rPr>
                <w:rFonts w:ascii="Times New Roman" w:hAnsi="Times New Roman" w:cs="Times New Roman"/>
                <w:sz w:val="20"/>
                <w:szCs w:val="20"/>
                <w:lang w:val="en-US"/>
              </w:rPr>
              <w:t>DNA</w:t>
            </w:r>
            <w:proofErr w:type="spellEnd"/>
            <w:r w:rsidRPr="001008F3">
              <w:rPr>
                <w:rFonts w:ascii="Times New Roman" w:hAnsi="Times New Roman" w:cs="Times New Roman"/>
                <w:sz w:val="20"/>
                <w:szCs w:val="20"/>
                <w:lang w:val="en-US"/>
              </w:rPr>
              <w:t xml:space="preserve"> to a complex with a target</w:t>
            </w:r>
          </w:p>
        </w:tc>
        <w:tc>
          <w:tcPr>
            <w:tcW w:w="2127" w:type="dxa"/>
            <w:vAlign w:val="center"/>
          </w:tcPr>
          <w:p w:rsidR="002B6607" w:rsidRPr="001008F3" w:rsidRDefault="002B6607" w:rsidP="0098663C">
            <w:pPr>
              <w:jc w:val="center"/>
              <w:rPr>
                <w:rFonts w:ascii="Times New Roman" w:hAnsi="Times New Roman" w:cs="Times New Roman"/>
                <w:sz w:val="20"/>
                <w:szCs w:val="20"/>
              </w:rPr>
            </w:pPr>
            <w:r>
              <w:rPr>
                <w:rFonts w:ascii="Times New Roman" w:hAnsi="Times New Roman" w:cs="Times New Roman"/>
                <w:sz w:val="20"/>
                <w:szCs w:val="20"/>
                <w:lang w:val="en-US"/>
              </w:rPr>
              <w:t>Ion current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500 (ON/OFF)</w:t>
            </w:r>
          </w:p>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100 (OFF/ON).</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"10.1021/ja3053333", "ISSN" : "00027863", "PMID" : "22954022", "abstract" : "Integrating biological components into artificial devices establishes an interface to understand and imitate the superior functionalities of the living systems. One challenge in developing biohybrid nanosystems mimicking the gating function of the biological ion channels is to enhance the gating efficiency of the man-made systems. Herein, we demonstrate a DNA supersandwich and ATP gated nanofluidic device that exhibits high ON-OFF ratios (up to 106) and a perfect electric seal at its closed state (\u223cG\u03c9). The ON-OFF ratio is distinctly higher than existing chemically modified nanofluidic gating systems. The gigaohm seal is comparable with that required in ion channel electrophysiological recording and some lipid bilayer-coated nanopore sensors. The gating function is implemented by self-assembling DNA supersandwich structures into solid-state nanochannels (open-to-closed) and their disassembly through ATP-DNA binding interactions (closed-to-open). On the basis of the reversible and all-or-none electrochemical switching properties, we further achieve the IMPLICATION logic operations within the nanofluidic structures. The present biohybrid nanofluidic device translates molecular events into electrical signals and indicates a built-in signal amplification mechanism for future nanofluidic biosensing and modular DNA computing on solid-state substrates. \u00a9 2012 American Chemical Society.", "author" : [ { "dropping-particle" : "", "family" : "Jiang", "given" : "Yanan", "non-dropping-particle" : "", "parse-names" : false, "suffix" : "" }, { "dropping-particle" : "", "family" : "Liu", "given" : "Nannan", "non-dropping-particle" : "", "parse-names" : false, "suffix" : "" }, { "dropping-particle" : "", "family" : "Guo", "given" : "Wei", "non-dropping-particle" : "", "parse-names" : false, "suffix" : "" }, { "dropping-particle" : "", "family" : "Xia", "given" : "Fan", "non-dropping-particle" : "", "parse-names" : false, "suffix" : "" }, { "dropping-particle" : "", "family" : "Jiang", "given" : "Lei", "non-dropping-particle" : "", "parse-names" : false, "suffix" : "" } ], "container-title" : "Journal of the American Chemical Society", "id" : "ITEM-1", "issue" : "37", "issued" : { "date-parts" : [ [ "2012" ] ] }, "page" : "15395-15401", "title" : "Highly-efficient gating of solid-state nanochannels by DNA supersandwich structure containing ATP aptamers: A nanofluidic IMPLICATION logic device", "type" : "article-journal", "volume" : "134" }, "uris" : [ "http://www.mendeley.com/documents/?uuid=a64b6458-59c6-4186-81b9-17b9f5430c15" ] } ], "mendeley" : { "formattedCitation" : "[35]", "plainTextFormattedCitation" : "[35]", "previouslyFormattedCitation" : "[35]"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[35]</w:t>
            </w:r>
            <w:r w:rsidRPr="00591BD9">
              <w:rPr>
                <w:rFonts w:ascii="Times New Roman" w:hAnsi="Times New Roman" w:cs="Times New Roman"/>
                <w:sz w:val="20"/>
                <w:szCs w:val="20"/>
                <w:lang w:val="en-US"/>
              </w:rPr>
              <w:fldChar w:fldCharType="end"/>
            </w:r>
          </w:p>
        </w:tc>
      </w:tr>
      <w:tr w:rsidR="002B6607" w:rsidRPr="00B9046F" w:rsidTr="0098663C">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Cell-based logic gates</w:t>
            </w:r>
          </w:p>
        </w:tc>
      </w:tr>
      <w:tr w:rsidR="002B6607" w:rsidRPr="009827EE" w:rsidTr="0098663C">
        <w:tc>
          <w:tcPr>
            <w:tcW w:w="1951" w:type="dxa"/>
            <w:vAlign w:val="center"/>
          </w:tcPr>
          <w:p w:rsidR="002B6607" w:rsidRPr="00B9046F"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Membrane targets for aptamers</w:t>
            </w:r>
          </w:p>
          <w:p w:rsidR="002B6607" w:rsidRPr="00B9046F"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sgc</w:t>
            </w:r>
            <w:r w:rsidRPr="00B9046F">
              <w:rPr>
                <w:rFonts w:ascii="Times New Roman" w:hAnsi="Times New Roman" w:cs="Times New Roman"/>
                <w:sz w:val="20"/>
                <w:szCs w:val="20"/>
                <w:lang w:val="en-US"/>
              </w:rPr>
              <w:t>8</w:t>
            </w:r>
            <w:r w:rsidRPr="00992617">
              <w:rPr>
                <w:rFonts w:ascii="Times New Roman" w:hAnsi="Times New Roman" w:cs="Times New Roman"/>
                <w:sz w:val="20"/>
                <w:szCs w:val="20"/>
                <w:lang w:val="en-US"/>
              </w:rPr>
              <w:t>c</w:t>
            </w:r>
            <w:r w:rsidRPr="00B9046F">
              <w:rPr>
                <w:rFonts w:ascii="Times New Roman" w:hAnsi="Times New Roman" w:cs="Times New Roman"/>
                <w:sz w:val="20"/>
                <w:szCs w:val="20"/>
                <w:lang w:val="en-US"/>
              </w:rPr>
              <w:t>,</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TD05,</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sgc4f,</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TE17,</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TE02</w:t>
            </w:r>
          </w:p>
        </w:tc>
        <w:tc>
          <w:tcPr>
            <w:tcW w:w="2835"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i1ANDi2</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i1ORi2</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i1NOTi2</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i1ANDNOTi2 i1ANDi2ANDi3 i1AND(i2ORi3) i1ANDNOT(i2ORi3) i1ANDi2ANDNOTi3 i1ANDi2ANDi3ANDi4</w:t>
            </w:r>
          </w:p>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i1ANDi2ANDi3ANDNOTi4</w:t>
            </w:r>
          </w:p>
        </w:tc>
        <w:tc>
          <w:tcPr>
            <w:tcW w:w="2693"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 xml:space="preserve">Switching of an aptamer from </w:t>
            </w:r>
            <w:proofErr w:type="spellStart"/>
            <w:r w:rsidRPr="00992617">
              <w:rPr>
                <w:rFonts w:ascii="Times New Roman" w:hAnsi="Times New Roman" w:cs="Times New Roman"/>
                <w:sz w:val="20"/>
                <w:szCs w:val="20"/>
                <w:lang w:val="en-US"/>
              </w:rPr>
              <w:t>dsDNA</w:t>
            </w:r>
            <w:proofErr w:type="spellEnd"/>
            <w:r w:rsidRPr="00992617">
              <w:rPr>
                <w:rFonts w:ascii="Times New Roman" w:hAnsi="Times New Roman" w:cs="Times New Roman"/>
                <w:sz w:val="20"/>
                <w:szCs w:val="20"/>
                <w:lang w:val="en-US"/>
              </w:rPr>
              <w:t xml:space="preserve"> to a complex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Fluorescence (</w:t>
            </w:r>
            <w:proofErr w:type="spellStart"/>
            <w:r w:rsidRPr="00992617">
              <w:rPr>
                <w:rFonts w:ascii="Times New Roman" w:hAnsi="Times New Roman" w:cs="Times New Roman"/>
                <w:sz w:val="20"/>
                <w:szCs w:val="20"/>
                <w:lang w:val="en-US"/>
              </w:rPr>
              <w:t>cytometry</w:t>
            </w:r>
            <w:proofErr w:type="spellEnd"/>
            <w:r w:rsidRPr="00992617">
              <w:rPr>
                <w:rFonts w:ascii="Times New Roman" w:hAnsi="Times New Roman" w:cs="Times New Roman"/>
                <w:sz w:val="20"/>
                <w:szCs w:val="20"/>
                <w:lang w:val="en-US"/>
              </w:rPr>
              <w:t>), assessment of cell viability (</w:t>
            </w:r>
            <w:proofErr w:type="spellStart"/>
            <w:r w:rsidRPr="00992617">
              <w:rPr>
                <w:rFonts w:ascii="Times New Roman" w:hAnsi="Times New Roman" w:cs="Times New Roman"/>
                <w:sz w:val="20"/>
                <w:szCs w:val="20"/>
                <w:lang w:val="en-US"/>
              </w:rPr>
              <w:t>propidium</w:t>
            </w:r>
            <w:proofErr w:type="spellEnd"/>
            <w:r w:rsidRPr="00992617">
              <w:rPr>
                <w:rFonts w:ascii="Times New Roman" w:hAnsi="Times New Roman" w:cs="Times New Roman"/>
                <w:sz w:val="20"/>
                <w:szCs w:val="20"/>
                <w:lang w:val="en-US"/>
              </w:rPr>
              <w:t xml:space="preserve"> iodide)</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&gt;90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 CSL_CITATION { "citationItems" : [ { "id" : "ITEM-1", "itemData" : { "DOI" : "10.1021/ja509263k", "ISSN" : "15205126", "PMID" : "25361164", "abstract" : "The specific inventory of molecules on diseased cell surfaces (e.g., cancer cells) provides clinicians an opportunity for accurate diagnosis and intervention. With the discovery of panels of cancer markers, carrying out analyses of multiple cell-surface markers is conceivable. As a trial to accomplish this, we have recently designed a DNA-based device that is capable of performing autonomous logic-based analysis of two or three cancer cell-surface markers. Combining the specific target-recognition properties of DNA aptamers with toehold-mediated strand displacement reactions, multicellular marker-based cancer analysis can be realized based on modular AND, OR, and NOT Boolean logic gates. Specifically, we report here a general approach for assembling these modular logic gates to execute programmable and higher-order profiling of multiple coexisting cell-surface markers, including several found on cancer cells, with the capacity to report a diagnostic signal and/or deliver targeted photodynamic therapy. The success of this strategy demonstrates the potential of DNA nanotechnology in facilitating targeted disease diagnosis and eff ective therapy. (Figure Presented).", "author" : [ { "dropping-particle" : "", "family" : "You", "given" : "Mingxu", "non-dropping-particle" : "", "parse-names" : false, "suffix" : "" }, { "dropping-particle" : "", "family" : "Zhu", "given" : "Guizhi", "non-dropping-particle" : "", "parse-names" : false, "suffix" : "" }, { "dropping-particle" : "", "family" : "Chen", "given" : "Tao", "non-dropping-particle" : "", "parse-names" : false, "suffix" : "" }, { "dropping-particle" : "", "family" : "Donovan", "given" : "Michael J.", "non-dropping-particle" : "", "parse-names" : false, "suffix" : "" }, { "dropping-particle" : "", "family" : "Tan", "given" : "Weihong", "non-dropping-particle" : "", "parse-names" : false, "suffix" : "" } ], "container-title" : "Journal of the American Chemical Society", "id" : "ITEM-1", "issue" : "2", "issued" : { "date-parts" : [ [ "2015" ] ] }, "page" : "667-674", "title" : "Programmable and multiparameter DNA-based logic platform for cancer recognition and targeted therapy", "type" : "article-journal", "volume" : "137" }, "uris" : [ "http://www.mendeley.com/documents/?uuid=6edd47d2-9323-49f8-b43a-e7b36c2e4a5a" ] } ], "mendeley" : { "formattedCitation" : "[36]", "plainTextFormattedCitation" : "[36]", "previouslyFormattedCitation" : "[36]"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[36]</w:t>
            </w:r>
            <w:r w:rsidRPr="00591BD9">
              <w:rPr>
                <w:rFonts w:ascii="Times New Roman" w:hAnsi="Times New Roman" w:cs="Times New Roman"/>
                <w:sz w:val="20"/>
                <w:szCs w:val="20"/>
                <w:lang w:val="en-US"/>
              </w:rPr>
              <w:fldChar w:fldCharType="end"/>
            </w:r>
          </w:p>
        </w:tc>
      </w:tr>
      <w:tr w:rsidR="002B6607" w:rsidRPr="009827EE" w:rsidTr="0098663C">
        <w:tc>
          <w:tcPr>
            <w:tcW w:w="1951" w:type="dxa"/>
            <w:vAlign w:val="center"/>
          </w:tcPr>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Membrane targets for aptamers</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lastRenderedPageBreak/>
              <w:t>sgc</w:t>
            </w:r>
            <w:r w:rsidRPr="00B9046F">
              <w:rPr>
                <w:rFonts w:ascii="Times New Roman" w:hAnsi="Times New Roman" w:cs="Times New Roman"/>
                <w:sz w:val="20"/>
                <w:szCs w:val="20"/>
                <w:lang w:val="en-US"/>
              </w:rPr>
              <w:t>8</w:t>
            </w:r>
            <w:r w:rsidRPr="009827EE">
              <w:rPr>
                <w:rFonts w:ascii="Times New Roman" w:hAnsi="Times New Roman" w:cs="Times New Roman"/>
                <w:sz w:val="20"/>
                <w:szCs w:val="20"/>
                <w:lang w:val="en-US"/>
              </w:rPr>
              <w:t>c</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sgc</w:t>
            </w:r>
            <w:r w:rsidRPr="00B9046F">
              <w:rPr>
                <w:rFonts w:ascii="Times New Roman" w:hAnsi="Times New Roman" w:cs="Times New Roman"/>
                <w:sz w:val="20"/>
                <w:szCs w:val="20"/>
                <w:lang w:val="en-US"/>
              </w:rPr>
              <w:t>4</w:t>
            </w:r>
            <w:r w:rsidRPr="009827EE">
              <w:rPr>
                <w:rFonts w:ascii="Times New Roman" w:hAnsi="Times New Roman" w:cs="Times New Roman"/>
                <w:sz w:val="20"/>
                <w:szCs w:val="20"/>
                <w:lang w:val="en-US"/>
              </w:rPr>
              <w:t>f</w:t>
            </w:r>
          </w:p>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TC01</w:t>
            </w:r>
          </w:p>
        </w:tc>
        <w:tc>
          <w:tcPr>
            <w:tcW w:w="2835" w:type="dxa"/>
            <w:vAlign w:val="center"/>
          </w:tcPr>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lastRenderedPageBreak/>
              <w:t>iANDi</w:t>
            </w:r>
            <w:proofErr w:type="spellEnd"/>
          </w:p>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t>iINHIBITi</w:t>
            </w:r>
            <w:proofErr w:type="spellEnd"/>
          </w:p>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lastRenderedPageBreak/>
              <w:t>iANDiANDi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lastRenderedPageBreak/>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w:t>
            </w:r>
            <w:r w:rsidRPr="009827EE">
              <w:rPr>
                <w:rFonts w:ascii="Times New Roman" w:hAnsi="Times New Roman" w:cs="Times New Roman"/>
                <w:sz w:val="20"/>
                <w:szCs w:val="20"/>
                <w:lang w:val="en-US"/>
              </w:rPr>
              <w:lastRenderedPageBreak/>
              <w:t>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lastRenderedPageBreak/>
              <w:t>Fluorescence (</w:t>
            </w:r>
            <w:proofErr w:type="spellStart"/>
            <w:r w:rsidRPr="00992617">
              <w:rPr>
                <w:rFonts w:ascii="Times New Roman" w:hAnsi="Times New Roman" w:cs="Times New Roman"/>
                <w:sz w:val="20"/>
                <w:szCs w:val="20"/>
                <w:lang w:val="en-US"/>
              </w:rPr>
              <w:t>cytometry</w:t>
            </w:r>
            <w:proofErr w:type="spellEnd"/>
            <w:r w:rsidRPr="00992617">
              <w:rPr>
                <w:rFonts w:ascii="Times New Roman" w:hAnsi="Times New Roman" w:cs="Times New Roman"/>
                <w:sz w:val="20"/>
                <w:szCs w:val="20"/>
                <w:lang w:val="en-US"/>
              </w:rPr>
              <w:t xml:space="preserve">), </w:t>
            </w:r>
            <w:r w:rsidRPr="00992617">
              <w:rPr>
                <w:rFonts w:ascii="Times New Roman" w:hAnsi="Times New Roman" w:cs="Times New Roman"/>
                <w:sz w:val="20"/>
                <w:szCs w:val="20"/>
                <w:lang w:val="en-US"/>
              </w:rPr>
              <w:lastRenderedPageBreak/>
              <w:t>assessment of cell viability (</w:t>
            </w:r>
            <w:proofErr w:type="spellStart"/>
            <w:r w:rsidRPr="00992617">
              <w:rPr>
                <w:rFonts w:ascii="Times New Roman" w:hAnsi="Times New Roman" w:cs="Times New Roman"/>
                <w:sz w:val="20"/>
                <w:szCs w:val="20"/>
                <w:lang w:val="en-US"/>
              </w:rPr>
              <w:t>propidium</w:t>
            </w:r>
            <w:proofErr w:type="spellEnd"/>
            <w:r w:rsidRPr="00992617">
              <w:rPr>
                <w:rFonts w:ascii="Times New Roman" w:hAnsi="Times New Roman" w:cs="Times New Roman"/>
                <w:sz w:val="20"/>
                <w:szCs w:val="20"/>
                <w:lang w:val="en-US"/>
              </w:rPr>
              <w:t xml:space="preserve"> iodide)</w:t>
            </w:r>
          </w:p>
        </w:tc>
        <w:tc>
          <w:tcPr>
            <w:tcW w:w="3118"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lang w:val="en-US"/>
              </w:rPr>
              <w:lastRenderedPageBreak/>
              <w:t>&gt;90</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fldChar w:fldCharType="begin" w:fldLock="1"/>
            </w:r>
            <w:r w:rsidRPr="00591BD9">
              <w:rPr>
                <w:rFonts w:ascii="Times New Roman" w:hAnsi="Times New Roman" w:cs="Times New Roman"/>
                <w:sz w:val="20"/>
                <w:szCs w:val="20"/>
              </w:rPr>
              <w:instrText>ADDIN CSL_CITATION { "citationItems" : [ { "id" : "ITEM-1", "itemData" : { "DOI" : "10.1021/ja4114903", "ISSN" : "00027863", "PMID" : "24367989", "abstract" : "Cell types, both healthy and diseased, can be classified by inventories of their cell-surface markers. Programmable analysis of multiple markers would enable clinicians to develop a comprehensive disease profile, leading to more accurate diagnosis and intervention. As a first step to accomplish this, we have designed a DNA-based device, called \"Nano-Claw\". Combining the special structure-switching properties of DNA aptamers with toehold-mediated strand displacement reactions, this claw is capable of performing autonomous logic-based analysis of multiple cancer cell-surface markers and, in response, producing a diagnostic signal and/or targeted photodynamic therapy. We anticipate that this design can be widely applied in facilitating basic biomedical research, accurate disease diagnosis, and effective therapy. \u00a9 2013 American Chemical Society.", "author" : [ { "dropping-particle" : "", "family" : "You", "given" : "Mingxu", "non-dropping-particle" : "", "parse-names" : false, "suffix" : "" }, { "dropping-particle" : "", "family" : "Peng", "given" : "Lu", "non-dropping-particle" : "", "parse-names" : false, "suffix" : "" }, { "dropping-particle" : "", "family" : "Shao", "given" : "Na", "non-dropping-particle" : "", "parse-names" : false, "suffix" : "" }, { "dropping-particle" : "", "family" : "Zhang", "given" : "Liqin", "non-dropping-particle" : "", "parse-names" : false, "suffix" : "" }, { "dropping-particle" : "", "family" : "Qiu", "given" : "Liping", "non-dropping-particle" : "", "parse-names" : false, "suffix" : "" }, { "dropping-particle" : "", "family" : "Cui", "given" : "Cheng", "non-dropping-particle" : "", "parse-names" : false, "suffix" : "" }, { "dropping-particle" : "", "family" : "Tan", "given" : "Weihong", "non-dropping-particle" : "", "parse-names" : false, "suffix" : "" } ], "container-title" : "Journal of the American Chemical Society", "id" : "ITEM-1", "issue" : "4", "issued" : { "date-parts" : [ [ "2014" ] ] }, "page" : "1256-1259", "title" : "DNA \"nano-claw\": Logic-based autonomous cancer targeting and therapy", "type" : "article-journal", "volume" : "136" }, "uris" : [ "http://www.mendeley.com/documents/?uuid=e4c39b94-59cf-42cb-a8f2-92520ee95204" ] } ], "mendeley" : { "formattedCitation" : "[37]", "plainTextFormattedCitation" : "[37]", "previouslyFormattedCitation" : "[37]" }, "properties" : { "noteIndex" : 0 }, "schema" : "https://github.com/citation-style-language/schema/raw/master/csl-citation.json" }</w:instrText>
            </w:r>
            <w:r w:rsidRPr="00591BD9">
              <w:rPr>
                <w:rFonts w:ascii="Times New Roman" w:hAnsi="Times New Roman" w:cs="Times New Roman"/>
                <w:sz w:val="20"/>
                <w:szCs w:val="20"/>
              </w:rPr>
              <w:fldChar w:fldCharType="separate"/>
            </w:r>
            <w:r w:rsidRPr="00591BD9">
              <w:rPr>
                <w:rFonts w:ascii="Times New Roman" w:hAnsi="Times New Roman" w:cs="Times New Roman"/>
                <w:noProof/>
                <w:sz w:val="20"/>
                <w:szCs w:val="20"/>
              </w:rPr>
              <w:t>[37]</w:t>
            </w:r>
            <w:r w:rsidRPr="00591BD9">
              <w:rPr>
                <w:rFonts w:ascii="Times New Roman" w:hAnsi="Times New Roman" w:cs="Times New Roman"/>
                <w:sz w:val="20"/>
                <w:szCs w:val="20"/>
              </w:rPr>
              <w:fldChar w:fldCharType="end"/>
            </w:r>
          </w:p>
        </w:tc>
      </w:tr>
      <w:tr w:rsidR="002B6607" w:rsidRPr="009827EE" w:rsidTr="0098663C">
        <w:tc>
          <w:tcPr>
            <w:tcW w:w="1951" w:type="dxa"/>
            <w:vAlign w:val="center"/>
          </w:tcPr>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lastRenderedPageBreak/>
              <w:t>Membrane targets for aptamers</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sgc</w:t>
            </w:r>
            <w:r w:rsidRPr="00B9046F">
              <w:rPr>
                <w:rFonts w:ascii="Times New Roman" w:hAnsi="Times New Roman" w:cs="Times New Roman"/>
                <w:sz w:val="20"/>
                <w:szCs w:val="20"/>
                <w:lang w:val="en-US"/>
              </w:rPr>
              <w:t>8</w:t>
            </w:r>
            <w:r w:rsidRPr="009827EE">
              <w:rPr>
                <w:rFonts w:ascii="Times New Roman" w:hAnsi="Times New Roman" w:cs="Times New Roman"/>
                <w:sz w:val="20"/>
                <w:szCs w:val="20"/>
                <w:lang w:val="en-US"/>
              </w:rPr>
              <w:t>c</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TD</w:t>
            </w:r>
            <w:r w:rsidRPr="00B9046F">
              <w:rPr>
                <w:rFonts w:ascii="Times New Roman" w:hAnsi="Times New Roman" w:cs="Times New Roman"/>
                <w:sz w:val="20"/>
                <w:szCs w:val="20"/>
                <w:lang w:val="en-US"/>
              </w:rPr>
              <w:t>05</w:t>
            </w:r>
          </w:p>
        </w:tc>
        <w:tc>
          <w:tcPr>
            <w:tcW w:w="2835" w:type="dxa"/>
            <w:vAlign w:val="center"/>
          </w:tcPr>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t>iORi</w:t>
            </w:r>
            <w:proofErr w:type="spellEnd"/>
          </w:p>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t>iANDi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Formation of a complex of an aptamer with a target</w:t>
            </w:r>
          </w:p>
        </w:tc>
        <w:tc>
          <w:tcPr>
            <w:tcW w:w="2127" w:type="dxa"/>
            <w:vAlign w:val="center"/>
          </w:tcPr>
          <w:p w:rsidR="002B6607" w:rsidRPr="00591BD9"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T</w:t>
            </w:r>
            <w:r w:rsidRPr="00591BD9">
              <w:rPr>
                <w:rFonts w:ascii="Times New Roman" w:hAnsi="Times New Roman" w:cs="Times New Roman"/>
                <w:sz w:val="20"/>
                <w:szCs w:val="20"/>
                <w:lang w:val="en-US"/>
              </w:rPr>
              <w:t>he change of resistance</w:t>
            </w:r>
            <w:r>
              <w:rPr>
                <w:rFonts w:ascii="Times New Roman" w:hAnsi="Times New Roman" w:cs="Times New Roman"/>
                <w:sz w:val="20"/>
                <w:szCs w:val="20"/>
                <w:lang w:val="en-US"/>
              </w:rPr>
              <w:t xml:space="preserve"> between electrodes</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Not defined</w:t>
            </w:r>
          </w:p>
        </w:tc>
        <w:tc>
          <w:tcPr>
            <w:tcW w:w="1559" w:type="dxa"/>
            <w:vAlign w:val="center"/>
          </w:tcPr>
          <w:p w:rsidR="002B6607" w:rsidRPr="00591BD9"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fldChar w:fldCharType="begin" w:fldLock="1"/>
            </w:r>
            <w:r w:rsidRPr="00591BD9">
              <w:rPr>
                <w:rFonts w:ascii="Times New Roman" w:hAnsi="Times New Roman" w:cs="Times New Roman"/>
                <w:sz w:val="20"/>
                <w:szCs w:val="20"/>
              </w:rPr>
              <w:instrText>ADDIN CSL_CITATION { "citationItems" : [ { "id" : "ITEM-1", "itemData" : { "DOI" : "10.1016/j.elecom.2015.07.006", "ISSN" : "13882481", "abstract" : "A logic aptamer sensor platform was developed for intelligent detection of two types of cancer cells based on the interdigital Au-line microarray (IAuLM) chip. The signal of resistance change caused by capturing of target cells with the aptamers modified on IAuLM is easy to be measured with a commercially available multimeter. By coupling logic operation design, the intelligent diagnostics for multiple kinds of cancer cells could be made. Target cells in blood samples were successfully detected by this chip, indicating that this method can be employed for the early diagnose of cancer and holds promising potential in point of care testing and clinical applications.", "author" : [ { "dropping-particle" : "", "family" : "Lou", "given" : "Baohua", "non-dropping-particle" : "", "parse-names" : false, "suffix" : "" }, { "dropping-particle" : "", "family" : "Zhou", "given" : "Zhixue", "non-dropping-particle" : "", "parse-names" : false, "suffix" : "" }, { "dropping-particle" : "", "family" : "Du", "given" : "Yan", "non-dropping-particle" : "", "parse-names" : false, "suffix" : "" }, { "dropping-particle" : "", "family" : "Dong", "given" : "Shaojun", "non-dropping-particle" : "", "parse-names" : false, "suffix" : "" } ], "container-title" : "Electrochemistry Communications", "id" : "ITEM-1", "issued" : { "date-parts" : [ [ "2015" ] ] }, "page" : "64-67", "title" : "Resistance-based logic aptamer sensor for CCRF-CEM and Ramos cells integrated on microfluidic chip", "type" : "article-journal", "volume" : "59" }, "uris" : [ "http://www.mendeley.com/documents/?uuid=16d06f0c-6829-4f31-a8aa-13d06a1dd851" ] } ], "mendeley" : { "formattedCitation" : "[38]", "plainTextFormattedCitation" : "[38]", "previouslyFormattedCitation" : "[38]" }, "properties" : { "noteIndex" : 0 }, "schema" : "https://github.com/citation-style-language/schema/raw/master/csl-citation.json" }</w:instrText>
            </w:r>
            <w:r w:rsidRPr="00591BD9">
              <w:rPr>
                <w:rFonts w:ascii="Times New Roman" w:hAnsi="Times New Roman" w:cs="Times New Roman"/>
                <w:sz w:val="20"/>
                <w:szCs w:val="20"/>
              </w:rPr>
              <w:fldChar w:fldCharType="separate"/>
            </w:r>
            <w:r w:rsidRPr="00591BD9">
              <w:rPr>
                <w:rFonts w:ascii="Times New Roman" w:hAnsi="Times New Roman" w:cs="Times New Roman"/>
                <w:noProof/>
                <w:sz w:val="20"/>
                <w:szCs w:val="20"/>
              </w:rPr>
              <w:t>[38]</w:t>
            </w:r>
            <w:r w:rsidRPr="00591BD9">
              <w:rPr>
                <w:rFonts w:ascii="Times New Roman" w:hAnsi="Times New Roman" w:cs="Times New Roman"/>
                <w:sz w:val="20"/>
                <w:szCs w:val="20"/>
              </w:rPr>
              <w:fldChar w:fldCharType="end"/>
            </w:r>
          </w:p>
        </w:tc>
      </w:tr>
      <w:tr w:rsidR="002B6607" w:rsidRPr="002B6607" w:rsidTr="0098663C">
        <w:tc>
          <w:tcPr>
            <w:tcW w:w="1951" w:type="dxa"/>
            <w:vAlign w:val="center"/>
          </w:tcPr>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Membrane targets for aptamers</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sgc</w:t>
            </w:r>
            <w:r w:rsidRPr="00B9046F">
              <w:rPr>
                <w:rFonts w:ascii="Times New Roman" w:hAnsi="Times New Roman" w:cs="Times New Roman"/>
                <w:sz w:val="20"/>
                <w:szCs w:val="20"/>
                <w:lang w:val="en-US"/>
              </w:rPr>
              <w:t>8</w:t>
            </w:r>
            <w:r w:rsidRPr="009827EE">
              <w:rPr>
                <w:rFonts w:ascii="Times New Roman" w:hAnsi="Times New Roman" w:cs="Times New Roman"/>
                <w:sz w:val="20"/>
                <w:szCs w:val="20"/>
                <w:lang w:val="en-US"/>
              </w:rPr>
              <w:t>c</w:t>
            </w:r>
          </w:p>
          <w:p w:rsidR="002B6607" w:rsidRPr="00B9046F"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sgc</w:t>
            </w:r>
            <w:r w:rsidRPr="00B9046F">
              <w:rPr>
                <w:rFonts w:ascii="Times New Roman" w:hAnsi="Times New Roman" w:cs="Times New Roman"/>
                <w:sz w:val="20"/>
                <w:szCs w:val="20"/>
                <w:lang w:val="en-US"/>
              </w:rPr>
              <w:t>4</w:t>
            </w:r>
            <w:r w:rsidRPr="009827EE">
              <w:rPr>
                <w:rFonts w:ascii="Times New Roman" w:hAnsi="Times New Roman" w:cs="Times New Roman"/>
                <w:sz w:val="20"/>
                <w:szCs w:val="20"/>
                <w:lang w:val="en-US"/>
              </w:rPr>
              <w:t>f</w:t>
            </w:r>
          </w:p>
        </w:tc>
        <w:tc>
          <w:tcPr>
            <w:tcW w:w="2835" w:type="dxa"/>
            <w:vAlign w:val="center"/>
          </w:tcPr>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t>iANDi</w:t>
            </w:r>
            <w:proofErr w:type="spellEnd"/>
            <w:r w:rsidRPr="009827EE">
              <w:rPr>
                <w:rFonts w:ascii="Times New Roman" w:hAnsi="Times New Roman" w:cs="Times New Roman"/>
                <w:sz w:val="20"/>
                <w:szCs w:val="20"/>
                <w:lang w:val="en-US"/>
              </w:rPr>
              <w:t xml:space="preserve"> </w:t>
            </w:r>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target</w:t>
            </w:r>
          </w:p>
        </w:tc>
        <w:tc>
          <w:tcPr>
            <w:tcW w:w="2127" w:type="dxa"/>
            <w:vAlign w:val="center"/>
          </w:tcPr>
          <w:p w:rsidR="002B6607" w:rsidRPr="009827EE"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Fluorescence (</w:t>
            </w:r>
            <w:proofErr w:type="spellStart"/>
            <w:r w:rsidRPr="00992617">
              <w:rPr>
                <w:rFonts w:ascii="Times New Roman" w:hAnsi="Times New Roman" w:cs="Times New Roman"/>
                <w:sz w:val="20"/>
                <w:szCs w:val="20"/>
                <w:lang w:val="en-US"/>
              </w:rPr>
              <w:t>cytometry</w:t>
            </w:r>
            <w:proofErr w:type="spellEnd"/>
            <w:r>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t>60-240</w:t>
            </w:r>
          </w:p>
        </w:tc>
        <w:tc>
          <w:tcPr>
            <w:tcW w:w="1559" w:type="dxa"/>
            <w:vAlign w:val="center"/>
          </w:tcPr>
          <w:p w:rsidR="002B6607" w:rsidRPr="002B6607" w:rsidRDefault="002B6607" w:rsidP="0098663C">
            <w:pPr>
              <w:jc w:val="center"/>
              <w:rPr>
                <w:rFonts w:ascii="Times New Roman" w:hAnsi="Times New Roman" w:cs="Times New Roman"/>
                <w:sz w:val="20"/>
                <w:szCs w:val="20"/>
              </w:rPr>
            </w:pPr>
            <w:r w:rsidRPr="00591BD9">
              <w:rPr>
                <w:rFonts w:ascii="Times New Roman" w:hAnsi="Times New Roman" w:cs="Times New Roman"/>
                <w:sz w:val="20"/>
                <w:szCs w:val="20"/>
              </w:rPr>
              <w:fldChar w:fldCharType="begin" w:fldLock="1"/>
            </w:r>
            <w:r w:rsidRPr="00591BD9">
              <w:rPr>
                <w:rFonts w:ascii="Times New Roman" w:hAnsi="Times New Roman" w:cs="Times New Roman"/>
                <w:sz w:val="20"/>
                <w:szCs w:val="20"/>
              </w:rPr>
              <w:instrText>ADDIN CSL_CITATION { "citationItems" : [ { "id" : "ITEM-1", "itemData" : { "DOI" : "10.1021/jacs.8b04319", "ISSN" : "15205126", "PMID" : "30021431", "abstract" : "Among the vast number of recognition molecules, DNA aptamers generated from cell-SELEX exhibit unique properties for identifying cell membrane biomarkers, in particular protein receptors on cancer cells. To integrate all recognition and computing modules within a single structure, a three-dimensional (3D) DNA-based logic gate nanomachine was constructed to target overexpressed cancer cell biomarkers with bispecific recognition. Thus, when the Boolean operator \"AND\" returns a true value, it is followed by an \"ON\" signal when the specific cell type is presented. Compared with freely dispersed double-stranded DNA (dsDNA)-based molecular circuits, this 3D DNA nanostructure, termed DNA-logic gate triangular prism (TP), showed better identification performance, enabling, in turn, better molecular targeting and fabrication of recognition nanorobotics.", "author" : [ { "dropping-particle" : "", "family" : "Peng", "given" : "Ruizi", "non-dropping-particle" : "", "parse-names" : false, "suffix" : "" }, { "dropping-particle" : "", "family" : "Zheng", "given" : "Xiaofang", "non-dropping-particle" : "", "parse-names" : false, "suffix" : "" }, { "dropping-particle" : "", "family" : "Lyu", "given" : "Yifan", "non-dropping-particle" : "", "parse-names" : false, "suffix" : "" }, { "dropping-particle" : "", "family" : "Xu", "given" : "Liujun", "non-dropping-particle" : "", "parse-names" : false, "suffix" : "" }, { "dropping-particle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Zhang</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Xiaobing</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Ke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Guoliang</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Liu</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Qiaoling</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You</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Changjun</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Huan</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Shuangyan</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family</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Tan</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given</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Weihong</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non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dropping</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particle</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parse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names</w:instrText>
            </w:r>
            <w:r w:rsidRPr="002B6607">
              <w:rPr>
                <w:rFonts w:ascii="Times New Roman" w:hAnsi="Times New Roman" w:cs="Times New Roman"/>
                <w:sz w:val="20"/>
                <w:szCs w:val="20"/>
              </w:rPr>
              <w:instrText xml:space="preserve">" : </w:instrText>
            </w:r>
            <w:r w:rsidRPr="00B9046F">
              <w:rPr>
                <w:rFonts w:ascii="Times New Roman" w:hAnsi="Times New Roman" w:cs="Times New Roman"/>
                <w:sz w:val="20"/>
                <w:szCs w:val="20"/>
                <w:lang w:val="en-US"/>
              </w:rPr>
              <w:instrText>false</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suffix</w:instrText>
            </w:r>
            <w:r w:rsidRPr="002B6607">
              <w:rPr>
                <w:rFonts w:ascii="Times New Roman" w:hAnsi="Times New Roman" w:cs="Times New Roman"/>
                <w:sz w:val="20"/>
                <w:szCs w:val="20"/>
              </w:rPr>
              <w:instrText>" : "" } ], "</w:instrText>
            </w:r>
            <w:r w:rsidRPr="00B9046F">
              <w:rPr>
                <w:rFonts w:ascii="Times New Roman" w:hAnsi="Times New Roman" w:cs="Times New Roman"/>
                <w:sz w:val="20"/>
                <w:szCs w:val="20"/>
                <w:lang w:val="en-US"/>
              </w:rPr>
              <w:instrText>container</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title</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Journal</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of</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the</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American</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Chemical</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Society</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id</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ITEM</w:instrText>
            </w:r>
            <w:r w:rsidRPr="002B6607">
              <w:rPr>
                <w:rFonts w:ascii="Times New Roman" w:hAnsi="Times New Roman" w:cs="Times New Roman"/>
                <w:sz w:val="20"/>
                <w:szCs w:val="20"/>
              </w:rPr>
              <w:instrText>-1", "</w:instrText>
            </w:r>
            <w:r w:rsidRPr="00B9046F">
              <w:rPr>
                <w:rFonts w:ascii="Times New Roman" w:hAnsi="Times New Roman" w:cs="Times New Roman"/>
                <w:sz w:val="20"/>
                <w:szCs w:val="20"/>
                <w:lang w:val="en-US"/>
              </w:rPr>
              <w:instrText>issue</w:instrText>
            </w:r>
            <w:r w:rsidRPr="002B6607">
              <w:rPr>
                <w:rFonts w:ascii="Times New Roman" w:hAnsi="Times New Roman" w:cs="Times New Roman"/>
                <w:sz w:val="20"/>
                <w:szCs w:val="20"/>
              </w:rPr>
              <w:instrText>" : "31", "</w:instrText>
            </w:r>
            <w:r w:rsidRPr="00B9046F">
              <w:rPr>
                <w:rFonts w:ascii="Times New Roman" w:hAnsi="Times New Roman" w:cs="Times New Roman"/>
                <w:sz w:val="20"/>
                <w:szCs w:val="20"/>
                <w:lang w:val="en-US"/>
              </w:rPr>
              <w:instrText>issued</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date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parts</w:instrText>
            </w:r>
            <w:r w:rsidRPr="002B6607">
              <w:rPr>
                <w:rFonts w:ascii="Times New Roman" w:hAnsi="Times New Roman" w:cs="Times New Roman"/>
                <w:sz w:val="20"/>
                <w:szCs w:val="20"/>
              </w:rPr>
              <w:instrText>" : [ [ "2018" ] ] }, "</w:instrText>
            </w:r>
            <w:r w:rsidRPr="00B9046F">
              <w:rPr>
                <w:rFonts w:ascii="Times New Roman" w:hAnsi="Times New Roman" w:cs="Times New Roman"/>
                <w:sz w:val="20"/>
                <w:szCs w:val="20"/>
                <w:lang w:val="en-US"/>
              </w:rPr>
              <w:instrText>page</w:instrText>
            </w:r>
            <w:r w:rsidRPr="002B6607">
              <w:rPr>
                <w:rFonts w:ascii="Times New Roman" w:hAnsi="Times New Roman" w:cs="Times New Roman"/>
                <w:sz w:val="20"/>
                <w:szCs w:val="20"/>
              </w:rPr>
              <w:instrText>" : "9793-9796", "</w:instrText>
            </w:r>
            <w:r w:rsidRPr="00B9046F">
              <w:rPr>
                <w:rFonts w:ascii="Times New Roman" w:hAnsi="Times New Roman" w:cs="Times New Roman"/>
                <w:sz w:val="20"/>
                <w:szCs w:val="20"/>
                <w:lang w:val="en-US"/>
              </w:rPr>
              <w:instrText>title</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Engineering</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a</w:instrText>
            </w:r>
            <w:r w:rsidRPr="002B6607">
              <w:rPr>
                <w:rFonts w:ascii="Times New Roman" w:hAnsi="Times New Roman" w:cs="Times New Roman"/>
                <w:sz w:val="20"/>
                <w:szCs w:val="20"/>
              </w:rPr>
              <w:instrText xml:space="preserve"> 3</w:instrText>
            </w:r>
            <w:r w:rsidRPr="00B9046F">
              <w:rPr>
                <w:rFonts w:ascii="Times New Roman" w:hAnsi="Times New Roman" w:cs="Times New Roman"/>
                <w:sz w:val="20"/>
                <w:szCs w:val="20"/>
                <w:lang w:val="en-US"/>
              </w:rPr>
              <w:instrText>D</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DNA</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Logic</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Gate</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Nanomachine</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for</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Bispecific</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Recognition</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Computing</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on</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Target</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Cell</w:instrText>
            </w:r>
            <w:r w:rsidRPr="002B6607">
              <w:rPr>
                <w:rFonts w:ascii="Times New Roman" w:hAnsi="Times New Roman" w:cs="Times New Roman"/>
                <w:sz w:val="20"/>
                <w:szCs w:val="20"/>
              </w:rPr>
              <w:instrText xml:space="preserve"> </w:instrText>
            </w:r>
            <w:r w:rsidRPr="00B9046F">
              <w:rPr>
                <w:rFonts w:ascii="Times New Roman" w:hAnsi="Times New Roman" w:cs="Times New Roman"/>
                <w:sz w:val="20"/>
                <w:szCs w:val="20"/>
                <w:lang w:val="en-US"/>
              </w:rPr>
              <w:instrText>Surfaces</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type</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article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journal</w:instrText>
            </w:r>
            <w:r w:rsidRPr="002B6607">
              <w:rPr>
                <w:rFonts w:ascii="Times New Roman" w:hAnsi="Times New Roman" w:cs="Times New Roman"/>
                <w:sz w:val="20"/>
                <w:szCs w:val="20"/>
              </w:rPr>
              <w:instrText>", "</w:instrText>
            </w:r>
            <w:r w:rsidRPr="00B9046F">
              <w:rPr>
                <w:rFonts w:ascii="Times New Roman" w:hAnsi="Times New Roman" w:cs="Times New Roman"/>
                <w:sz w:val="20"/>
                <w:szCs w:val="20"/>
                <w:lang w:val="en-US"/>
              </w:rPr>
              <w:instrText>volume</w:instrText>
            </w:r>
            <w:r w:rsidRPr="002B6607">
              <w:rPr>
                <w:rFonts w:ascii="Times New Roman" w:hAnsi="Times New Roman" w:cs="Times New Roman"/>
                <w:sz w:val="20"/>
                <w:szCs w:val="20"/>
              </w:rPr>
              <w:instrText>" : "140" }, "</w:instrText>
            </w:r>
            <w:r w:rsidRPr="00B9046F">
              <w:rPr>
                <w:rFonts w:ascii="Times New Roman" w:hAnsi="Times New Roman" w:cs="Times New Roman"/>
                <w:sz w:val="20"/>
                <w:szCs w:val="20"/>
                <w:lang w:val="en-US"/>
              </w:rPr>
              <w:instrText>uris</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http</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www</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mendeley</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com</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documents</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uuid</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e</w:instrText>
            </w:r>
            <w:r w:rsidRPr="002B6607">
              <w:rPr>
                <w:rFonts w:ascii="Times New Roman" w:hAnsi="Times New Roman" w:cs="Times New Roman"/>
                <w:sz w:val="20"/>
                <w:szCs w:val="20"/>
              </w:rPr>
              <w:instrText>64</w:instrText>
            </w:r>
            <w:r w:rsidRPr="00B9046F">
              <w:rPr>
                <w:rFonts w:ascii="Times New Roman" w:hAnsi="Times New Roman" w:cs="Times New Roman"/>
                <w:sz w:val="20"/>
                <w:szCs w:val="20"/>
                <w:lang w:val="en-US"/>
              </w:rPr>
              <w:instrText>cc</w:instrText>
            </w:r>
            <w:r w:rsidRPr="002B6607">
              <w:rPr>
                <w:rFonts w:ascii="Times New Roman" w:hAnsi="Times New Roman" w:cs="Times New Roman"/>
                <w:sz w:val="20"/>
                <w:szCs w:val="20"/>
              </w:rPr>
              <w:instrText>1</w:instrText>
            </w:r>
            <w:r w:rsidRPr="00B9046F">
              <w:rPr>
                <w:rFonts w:ascii="Times New Roman" w:hAnsi="Times New Roman" w:cs="Times New Roman"/>
                <w:sz w:val="20"/>
                <w:szCs w:val="20"/>
                <w:lang w:val="en-US"/>
              </w:rPr>
              <w:instrText>dd</w:instrText>
            </w:r>
            <w:r w:rsidRPr="002B6607">
              <w:rPr>
                <w:rFonts w:ascii="Times New Roman" w:hAnsi="Times New Roman" w:cs="Times New Roman"/>
                <w:sz w:val="20"/>
                <w:szCs w:val="20"/>
              </w:rPr>
              <w:instrText>-2</w:instrText>
            </w:r>
            <w:r w:rsidRPr="00B9046F">
              <w:rPr>
                <w:rFonts w:ascii="Times New Roman" w:hAnsi="Times New Roman" w:cs="Times New Roman"/>
                <w:sz w:val="20"/>
                <w:szCs w:val="20"/>
                <w:lang w:val="en-US"/>
              </w:rPr>
              <w:instrText>f</w:instrText>
            </w:r>
            <w:r w:rsidRPr="002B6607">
              <w:rPr>
                <w:rFonts w:ascii="Times New Roman" w:hAnsi="Times New Roman" w:cs="Times New Roman"/>
                <w:sz w:val="20"/>
                <w:szCs w:val="20"/>
              </w:rPr>
              <w:instrText>33-4403-98</w:instrText>
            </w:r>
            <w:r w:rsidRPr="00B9046F">
              <w:rPr>
                <w:rFonts w:ascii="Times New Roman" w:hAnsi="Times New Roman" w:cs="Times New Roman"/>
                <w:sz w:val="20"/>
                <w:szCs w:val="20"/>
                <w:lang w:val="en-US"/>
              </w:rPr>
              <w:instrText>a</w:instrText>
            </w:r>
            <w:r w:rsidRPr="002B6607">
              <w:rPr>
                <w:rFonts w:ascii="Times New Roman" w:hAnsi="Times New Roman" w:cs="Times New Roman"/>
                <w:sz w:val="20"/>
                <w:szCs w:val="20"/>
              </w:rPr>
              <w:instrText>0-</w:instrText>
            </w:r>
            <w:r w:rsidRPr="00B9046F">
              <w:rPr>
                <w:rFonts w:ascii="Times New Roman" w:hAnsi="Times New Roman" w:cs="Times New Roman"/>
                <w:sz w:val="20"/>
                <w:szCs w:val="20"/>
                <w:lang w:val="en-US"/>
              </w:rPr>
              <w:instrText>a</w:instrText>
            </w:r>
            <w:r w:rsidRPr="002B6607">
              <w:rPr>
                <w:rFonts w:ascii="Times New Roman" w:hAnsi="Times New Roman" w:cs="Times New Roman"/>
                <w:sz w:val="20"/>
                <w:szCs w:val="20"/>
              </w:rPr>
              <w:instrText>1</w:instrText>
            </w:r>
            <w:r w:rsidRPr="00B9046F">
              <w:rPr>
                <w:rFonts w:ascii="Times New Roman" w:hAnsi="Times New Roman" w:cs="Times New Roman"/>
                <w:sz w:val="20"/>
                <w:szCs w:val="20"/>
                <w:lang w:val="en-US"/>
              </w:rPr>
              <w:instrText>f</w:instrText>
            </w:r>
            <w:r w:rsidRPr="002B6607">
              <w:rPr>
                <w:rFonts w:ascii="Times New Roman" w:hAnsi="Times New Roman" w:cs="Times New Roman"/>
                <w:sz w:val="20"/>
                <w:szCs w:val="20"/>
              </w:rPr>
              <w:instrText>46366</w:instrText>
            </w:r>
            <w:r w:rsidRPr="00B9046F">
              <w:rPr>
                <w:rFonts w:ascii="Times New Roman" w:hAnsi="Times New Roman" w:cs="Times New Roman"/>
                <w:sz w:val="20"/>
                <w:szCs w:val="20"/>
                <w:lang w:val="en-US"/>
              </w:rPr>
              <w:instrText>abc</w:instrText>
            </w:r>
            <w:r w:rsidRPr="002B6607">
              <w:rPr>
                <w:rFonts w:ascii="Times New Roman" w:hAnsi="Times New Roman" w:cs="Times New Roman"/>
                <w:sz w:val="20"/>
                <w:szCs w:val="20"/>
              </w:rPr>
              <w:instrText>2" ] } ], "</w:instrText>
            </w:r>
            <w:r w:rsidRPr="00B9046F">
              <w:rPr>
                <w:rFonts w:ascii="Times New Roman" w:hAnsi="Times New Roman" w:cs="Times New Roman"/>
                <w:sz w:val="20"/>
                <w:szCs w:val="20"/>
                <w:lang w:val="en-US"/>
              </w:rPr>
              <w:instrText>mendeley</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formattedCitation</w:instrText>
            </w:r>
            <w:r w:rsidRPr="002B6607">
              <w:rPr>
                <w:rFonts w:ascii="Times New Roman" w:hAnsi="Times New Roman" w:cs="Times New Roman"/>
                <w:sz w:val="20"/>
                <w:szCs w:val="20"/>
              </w:rPr>
              <w:instrText>" : "[39]", "</w:instrText>
            </w:r>
            <w:r w:rsidRPr="00B9046F">
              <w:rPr>
                <w:rFonts w:ascii="Times New Roman" w:hAnsi="Times New Roman" w:cs="Times New Roman"/>
                <w:sz w:val="20"/>
                <w:szCs w:val="20"/>
                <w:lang w:val="en-US"/>
              </w:rPr>
              <w:instrText>plainTextFormattedCitation</w:instrText>
            </w:r>
            <w:r w:rsidRPr="002B6607">
              <w:rPr>
                <w:rFonts w:ascii="Times New Roman" w:hAnsi="Times New Roman" w:cs="Times New Roman"/>
                <w:sz w:val="20"/>
                <w:szCs w:val="20"/>
              </w:rPr>
              <w:instrText>" : "[39]", "</w:instrText>
            </w:r>
            <w:r w:rsidRPr="00B9046F">
              <w:rPr>
                <w:rFonts w:ascii="Times New Roman" w:hAnsi="Times New Roman" w:cs="Times New Roman"/>
                <w:sz w:val="20"/>
                <w:szCs w:val="20"/>
                <w:lang w:val="en-US"/>
              </w:rPr>
              <w:instrText>previouslyFormattedCitation</w:instrText>
            </w:r>
            <w:r w:rsidRPr="002B6607">
              <w:rPr>
                <w:rFonts w:ascii="Times New Roman" w:hAnsi="Times New Roman" w:cs="Times New Roman"/>
                <w:sz w:val="20"/>
                <w:szCs w:val="20"/>
              </w:rPr>
              <w:instrText>" : "[39]" }, "</w:instrText>
            </w:r>
            <w:r w:rsidRPr="00B9046F">
              <w:rPr>
                <w:rFonts w:ascii="Times New Roman" w:hAnsi="Times New Roman" w:cs="Times New Roman"/>
                <w:sz w:val="20"/>
                <w:szCs w:val="20"/>
                <w:lang w:val="en-US"/>
              </w:rPr>
              <w:instrText>properties</w:instrText>
            </w:r>
            <w:r w:rsidRPr="002B6607">
              <w:rPr>
                <w:rFonts w:ascii="Times New Roman" w:hAnsi="Times New Roman" w:cs="Times New Roman"/>
                <w:sz w:val="20"/>
                <w:szCs w:val="20"/>
              </w:rPr>
              <w:instrText>" : { "</w:instrText>
            </w:r>
            <w:r w:rsidRPr="00B9046F">
              <w:rPr>
                <w:rFonts w:ascii="Times New Roman" w:hAnsi="Times New Roman" w:cs="Times New Roman"/>
                <w:sz w:val="20"/>
                <w:szCs w:val="20"/>
                <w:lang w:val="en-US"/>
              </w:rPr>
              <w:instrText>noteIndex</w:instrText>
            </w:r>
            <w:r w:rsidRPr="002B6607">
              <w:rPr>
                <w:rFonts w:ascii="Times New Roman" w:hAnsi="Times New Roman" w:cs="Times New Roman"/>
                <w:sz w:val="20"/>
                <w:szCs w:val="20"/>
              </w:rPr>
              <w:instrText>" : 0 }, "</w:instrText>
            </w:r>
            <w:r w:rsidRPr="00B9046F">
              <w:rPr>
                <w:rFonts w:ascii="Times New Roman" w:hAnsi="Times New Roman" w:cs="Times New Roman"/>
                <w:sz w:val="20"/>
                <w:szCs w:val="20"/>
                <w:lang w:val="en-US"/>
              </w:rPr>
              <w:instrText>schema</w:instrText>
            </w:r>
            <w:r w:rsidRPr="002B6607">
              <w:rPr>
                <w:rFonts w:ascii="Times New Roman" w:hAnsi="Times New Roman" w:cs="Times New Roman"/>
                <w:sz w:val="20"/>
                <w:szCs w:val="20"/>
              </w:rPr>
              <w:instrText>" : "</w:instrText>
            </w:r>
            <w:r w:rsidRPr="00B9046F">
              <w:rPr>
                <w:rFonts w:ascii="Times New Roman" w:hAnsi="Times New Roman" w:cs="Times New Roman"/>
                <w:sz w:val="20"/>
                <w:szCs w:val="20"/>
                <w:lang w:val="en-US"/>
              </w:rPr>
              <w:instrText>https</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github</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com</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citation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style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language</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schema</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raw</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master</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csl</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citation</w:instrText>
            </w:r>
            <w:r w:rsidRPr="002B6607">
              <w:rPr>
                <w:rFonts w:ascii="Times New Roman" w:hAnsi="Times New Roman" w:cs="Times New Roman"/>
                <w:sz w:val="20"/>
                <w:szCs w:val="20"/>
              </w:rPr>
              <w:instrText>.</w:instrText>
            </w:r>
            <w:r w:rsidRPr="00B9046F">
              <w:rPr>
                <w:rFonts w:ascii="Times New Roman" w:hAnsi="Times New Roman" w:cs="Times New Roman"/>
                <w:sz w:val="20"/>
                <w:szCs w:val="20"/>
                <w:lang w:val="en-US"/>
              </w:rPr>
              <w:instrText>json</w:instrText>
            </w:r>
            <w:r w:rsidRPr="002B6607">
              <w:rPr>
                <w:rFonts w:ascii="Times New Roman" w:hAnsi="Times New Roman" w:cs="Times New Roman"/>
                <w:sz w:val="20"/>
                <w:szCs w:val="20"/>
              </w:rPr>
              <w:instrText>" }</w:instrText>
            </w:r>
            <w:r w:rsidRPr="00591BD9">
              <w:rPr>
                <w:rFonts w:ascii="Times New Roman" w:hAnsi="Times New Roman" w:cs="Times New Roman"/>
                <w:sz w:val="20"/>
                <w:szCs w:val="20"/>
              </w:rPr>
              <w:fldChar w:fldCharType="separate"/>
            </w:r>
            <w:r w:rsidRPr="002B6607">
              <w:rPr>
                <w:rFonts w:ascii="Times New Roman" w:hAnsi="Times New Roman" w:cs="Times New Roman"/>
                <w:noProof/>
                <w:sz w:val="20"/>
                <w:szCs w:val="20"/>
              </w:rPr>
              <w:t>[39]</w:t>
            </w:r>
            <w:r w:rsidRPr="00591BD9">
              <w:rPr>
                <w:rFonts w:ascii="Times New Roman" w:hAnsi="Times New Roman" w:cs="Times New Roman"/>
                <w:sz w:val="20"/>
                <w:szCs w:val="20"/>
              </w:rPr>
              <w:fldChar w:fldCharType="end"/>
            </w:r>
          </w:p>
        </w:tc>
      </w:tr>
      <w:tr w:rsidR="002B6607" w:rsidRPr="009827EE" w:rsidTr="0098663C">
        <w:tc>
          <w:tcPr>
            <w:tcW w:w="1951" w:type="dxa"/>
            <w:vAlign w:val="center"/>
          </w:tcPr>
          <w:p w:rsidR="002B6607" w:rsidRPr="002B6607" w:rsidRDefault="002B6607" w:rsidP="0098663C">
            <w:pPr>
              <w:jc w:val="center"/>
              <w:rPr>
                <w:rFonts w:ascii="Times New Roman" w:hAnsi="Times New Roman" w:cs="Times New Roman"/>
                <w:sz w:val="20"/>
                <w:szCs w:val="20"/>
              </w:rPr>
            </w:pPr>
            <w:r w:rsidRPr="009827EE">
              <w:rPr>
                <w:rFonts w:ascii="Times New Roman" w:hAnsi="Times New Roman" w:cs="Times New Roman"/>
                <w:sz w:val="20"/>
                <w:szCs w:val="20"/>
                <w:lang w:val="en-US"/>
              </w:rPr>
              <w:t>Membrane</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targets</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for</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aptamers</w:t>
            </w:r>
          </w:p>
          <w:p w:rsidR="002B6607" w:rsidRPr="002B6607" w:rsidRDefault="002B6607" w:rsidP="0098663C">
            <w:pPr>
              <w:jc w:val="center"/>
              <w:rPr>
                <w:rFonts w:ascii="Times New Roman" w:hAnsi="Times New Roman" w:cs="Times New Roman"/>
                <w:sz w:val="20"/>
                <w:szCs w:val="20"/>
              </w:rPr>
            </w:pPr>
            <w:proofErr w:type="spellStart"/>
            <w:r w:rsidRPr="009827EE">
              <w:rPr>
                <w:rFonts w:ascii="Times New Roman" w:hAnsi="Times New Roman" w:cs="Times New Roman"/>
                <w:sz w:val="20"/>
                <w:szCs w:val="20"/>
                <w:lang w:val="en-US"/>
              </w:rPr>
              <w:t>sgc</w:t>
            </w:r>
            <w:proofErr w:type="spellEnd"/>
            <w:r w:rsidRPr="002B6607">
              <w:rPr>
                <w:rFonts w:ascii="Times New Roman" w:hAnsi="Times New Roman" w:cs="Times New Roman"/>
                <w:sz w:val="20"/>
                <w:szCs w:val="20"/>
              </w:rPr>
              <w:t>8</w:t>
            </w:r>
            <w:r w:rsidRPr="009827EE">
              <w:rPr>
                <w:rFonts w:ascii="Times New Roman" w:hAnsi="Times New Roman" w:cs="Times New Roman"/>
                <w:sz w:val="20"/>
                <w:szCs w:val="20"/>
                <w:lang w:val="en-US"/>
              </w:rPr>
              <w:t>c</w:t>
            </w:r>
          </w:p>
          <w:p w:rsidR="002B6607" w:rsidRPr="002B6607" w:rsidRDefault="002B6607" w:rsidP="0098663C">
            <w:pPr>
              <w:jc w:val="center"/>
              <w:rPr>
                <w:rFonts w:ascii="Times New Roman" w:hAnsi="Times New Roman" w:cs="Times New Roman"/>
                <w:sz w:val="20"/>
                <w:szCs w:val="20"/>
              </w:rPr>
            </w:pPr>
            <w:proofErr w:type="spellStart"/>
            <w:r w:rsidRPr="009827EE">
              <w:rPr>
                <w:rFonts w:ascii="Times New Roman" w:hAnsi="Times New Roman" w:cs="Times New Roman"/>
                <w:sz w:val="20"/>
                <w:szCs w:val="20"/>
                <w:lang w:val="en-US"/>
              </w:rPr>
              <w:t>sgc</w:t>
            </w:r>
            <w:proofErr w:type="spellEnd"/>
            <w:r w:rsidRPr="002B6607">
              <w:rPr>
                <w:rFonts w:ascii="Times New Roman" w:hAnsi="Times New Roman" w:cs="Times New Roman"/>
                <w:sz w:val="20"/>
                <w:szCs w:val="20"/>
              </w:rPr>
              <w:t>4</w:t>
            </w:r>
            <w:r w:rsidRPr="009827EE">
              <w:rPr>
                <w:rFonts w:ascii="Times New Roman" w:hAnsi="Times New Roman" w:cs="Times New Roman"/>
                <w:sz w:val="20"/>
                <w:szCs w:val="20"/>
                <w:lang w:val="en-US"/>
              </w:rPr>
              <w:t>f</w:t>
            </w:r>
          </w:p>
          <w:p w:rsidR="002B6607" w:rsidRPr="002B6607" w:rsidRDefault="002B6607" w:rsidP="0098663C">
            <w:pPr>
              <w:jc w:val="center"/>
              <w:rPr>
                <w:rFonts w:ascii="Times New Roman" w:hAnsi="Times New Roman" w:cs="Times New Roman"/>
                <w:sz w:val="20"/>
                <w:szCs w:val="20"/>
              </w:rPr>
            </w:pPr>
            <w:r w:rsidRPr="009827EE">
              <w:rPr>
                <w:rFonts w:ascii="Times New Roman" w:hAnsi="Times New Roman" w:cs="Times New Roman"/>
                <w:sz w:val="20"/>
                <w:szCs w:val="20"/>
                <w:lang w:val="en-US"/>
              </w:rPr>
              <w:t>TC</w:t>
            </w:r>
            <w:r w:rsidRPr="002B6607">
              <w:rPr>
                <w:rFonts w:ascii="Times New Roman" w:hAnsi="Times New Roman" w:cs="Times New Roman"/>
                <w:sz w:val="20"/>
                <w:szCs w:val="20"/>
              </w:rPr>
              <w:t>01</w:t>
            </w:r>
          </w:p>
        </w:tc>
        <w:tc>
          <w:tcPr>
            <w:tcW w:w="2835" w:type="dxa"/>
            <w:vAlign w:val="center"/>
          </w:tcPr>
          <w:p w:rsidR="002B6607" w:rsidRPr="002B6607" w:rsidRDefault="002B6607" w:rsidP="0098663C">
            <w:pPr>
              <w:jc w:val="center"/>
              <w:rPr>
                <w:rFonts w:ascii="Times New Roman" w:hAnsi="Times New Roman" w:cs="Times New Roman"/>
                <w:sz w:val="20"/>
                <w:szCs w:val="20"/>
              </w:rPr>
            </w:pPr>
            <w:proofErr w:type="spellStart"/>
            <w:r w:rsidRPr="009827EE">
              <w:rPr>
                <w:rFonts w:ascii="Times New Roman" w:hAnsi="Times New Roman" w:cs="Times New Roman"/>
                <w:sz w:val="20"/>
                <w:szCs w:val="20"/>
                <w:lang w:val="en-US"/>
              </w:rPr>
              <w:t>iANDi</w:t>
            </w:r>
            <w:proofErr w:type="spellEnd"/>
          </w:p>
        </w:tc>
        <w:tc>
          <w:tcPr>
            <w:tcW w:w="2693" w:type="dxa"/>
            <w:vAlign w:val="center"/>
          </w:tcPr>
          <w:p w:rsidR="002B6607" w:rsidRPr="002B6607" w:rsidRDefault="002B6607" w:rsidP="0098663C">
            <w:pPr>
              <w:jc w:val="center"/>
              <w:rPr>
                <w:rFonts w:ascii="Times New Roman" w:hAnsi="Times New Roman" w:cs="Times New Roman"/>
                <w:sz w:val="20"/>
                <w:szCs w:val="20"/>
              </w:rPr>
            </w:pPr>
            <w:r w:rsidRPr="009827EE">
              <w:rPr>
                <w:rFonts w:ascii="Times New Roman" w:hAnsi="Times New Roman" w:cs="Times New Roman"/>
                <w:sz w:val="20"/>
                <w:szCs w:val="20"/>
                <w:lang w:val="en-US"/>
              </w:rPr>
              <w:t>Formation</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of</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a</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complex</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of</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an</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aptamer</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with</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a</w:t>
            </w:r>
            <w:r w:rsidRPr="002B6607">
              <w:rPr>
                <w:rFonts w:ascii="Times New Roman" w:hAnsi="Times New Roman" w:cs="Times New Roman"/>
                <w:sz w:val="20"/>
                <w:szCs w:val="20"/>
              </w:rPr>
              <w:t xml:space="preserve"> </w:t>
            </w:r>
            <w:r w:rsidRPr="009827EE">
              <w:rPr>
                <w:rFonts w:ascii="Times New Roman" w:hAnsi="Times New Roman" w:cs="Times New Roman"/>
                <w:sz w:val="20"/>
                <w:szCs w:val="20"/>
                <w:lang w:val="en-US"/>
              </w:rPr>
              <w:t>target</w:t>
            </w:r>
          </w:p>
        </w:tc>
        <w:tc>
          <w:tcPr>
            <w:tcW w:w="2127" w:type="dxa"/>
            <w:vAlign w:val="center"/>
          </w:tcPr>
          <w:p w:rsidR="002B6607" w:rsidRPr="002B6607" w:rsidRDefault="002B6607" w:rsidP="0098663C">
            <w:pPr>
              <w:jc w:val="center"/>
              <w:rPr>
                <w:rFonts w:ascii="Times New Roman" w:hAnsi="Times New Roman" w:cs="Times New Roman"/>
                <w:sz w:val="20"/>
                <w:szCs w:val="20"/>
              </w:rPr>
            </w:pPr>
            <w:r w:rsidRPr="00992617">
              <w:rPr>
                <w:rFonts w:ascii="Times New Roman" w:hAnsi="Times New Roman" w:cs="Times New Roman"/>
                <w:sz w:val="20"/>
                <w:szCs w:val="20"/>
                <w:lang w:val="en-US"/>
              </w:rPr>
              <w:t>Fluorescence</w:t>
            </w:r>
            <w:r w:rsidRPr="002B6607">
              <w:rPr>
                <w:rFonts w:ascii="Times New Roman" w:hAnsi="Times New Roman" w:cs="Times New Roman"/>
                <w:sz w:val="20"/>
                <w:szCs w:val="20"/>
              </w:rPr>
              <w:t xml:space="preserve"> (</w:t>
            </w:r>
            <w:proofErr w:type="spellStart"/>
            <w:r w:rsidRPr="00992617">
              <w:rPr>
                <w:rFonts w:ascii="Times New Roman" w:hAnsi="Times New Roman" w:cs="Times New Roman"/>
                <w:sz w:val="20"/>
                <w:szCs w:val="20"/>
                <w:lang w:val="en-US"/>
              </w:rPr>
              <w:t>cytometry</w:t>
            </w:r>
            <w:proofErr w:type="spellEnd"/>
            <w:r w:rsidRPr="002B6607">
              <w:rPr>
                <w:rFonts w:ascii="Times New Roman" w:hAnsi="Times New Roman" w:cs="Times New Roman"/>
                <w:sz w:val="20"/>
                <w:szCs w:val="20"/>
              </w:rPr>
              <w:t>)</w:t>
            </w:r>
          </w:p>
        </w:tc>
        <w:tc>
          <w:tcPr>
            <w:tcW w:w="3118" w:type="dxa"/>
            <w:vAlign w:val="center"/>
          </w:tcPr>
          <w:p w:rsidR="002B6607" w:rsidRPr="002B6607" w:rsidRDefault="002B6607" w:rsidP="0098663C">
            <w:pPr>
              <w:jc w:val="center"/>
              <w:rPr>
                <w:rFonts w:ascii="Times New Roman" w:hAnsi="Times New Roman" w:cs="Times New Roman"/>
                <w:sz w:val="20"/>
                <w:szCs w:val="20"/>
              </w:rPr>
            </w:pPr>
            <w:r w:rsidRPr="002B6607">
              <w:rPr>
                <w:rFonts w:ascii="Times New Roman" w:hAnsi="Times New Roman" w:cs="Times New Roman"/>
                <w:sz w:val="20"/>
                <w:szCs w:val="20"/>
              </w:rPr>
              <w:t>150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sidRPr="00591BD9">
              <w:rPr>
                <w:rFonts w:ascii="Times New Roman" w:hAnsi="Times New Roman" w:cs="Times New Roman"/>
                <w:sz w:val="20"/>
                <w:szCs w:val="20"/>
                <w:lang w:val="en-US"/>
              </w:rPr>
              <w:fldChar w:fldCharType="begin" w:fldLock="1"/>
            </w:r>
            <w:r w:rsidRPr="00591BD9">
              <w:rPr>
                <w:rFonts w:ascii="Times New Roman" w:hAnsi="Times New Roman" w:cs="Times New Roman"/>
                <w:sz w:val="20"/>
                <w:szCs w:val="20"/>
                <w:lang w:val="en-US"/>
              </w:rPr>
              <w:instrText>ADDIN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CSL</w:instrText>
            </w:r>
            <w:r w:rsidRPr="002B6607">
              <w:rPr>
                <w:rFonts w:ascii="Times New Roman" w:hAnsi="Times New Roman" w:cs="Times New Roman"/>
                <w:sz w:val="20"/>
                <w:szCs w:val="20"/>
              </w:rPr>
              <w:instrText>_</w:instrText>
            </w:r>
            <w:r w:rsidRPr="00591BD9">
              <w:rPr>
                <w:rFonts w:ascii="Times New Roman" w:hAnsi="Times New Roman" w:cs="Times New Roman"/>
                <w:sz w:val="20"/>
                <w:szCs w:val="20"/>
                <w:lang w:val="en-US"/>
              </w:rPr>
              <w:instrText>CITATION</w:instrText>
            </w:r>
            <w:r w:rsidRPr="002B6607">
              <w:rPr>
                <w:rFonts w:ascii="Times New Roman" w:hAnsi="Times New Roman" w:cs="Times New Roman"/>
                <w:sz w:val="20"/>
                <w:szCs w:val="20"/>
              </w:rPr>
              <w:instrText xml:space="preserve"> { "</w:instrText>
            </w:r>
            <w:r w:rsidRPr="00591BD9">
              <w:rPr>
                <w:rFonts w:ascii="Times New Roman" w:hAnsi="Times New Roman" w:cs="Times New Roman"/>
                <w:sz w:val="20"/>
                <w:szCs w:val="20"/>
                <w:lang w:val="en-US"/>
              </w:rPr>
              <w:instrText>citationItems</w:instrText>
            </w:r>
            <w:r w:rsidRPr="002B6607">
              <w:rPr>
                <w:rFonts w:ascii="Times New Roman" w:hAnsi="Times New Roman" w:cs="Times New Roman"/>
                <w:sz w:val="20"/>
                <w:szCs w:val="20"/>
              </w:rPr>
              <w:instrText>" : [ { "</w:instrText>
            </w:r>
            <w:r w:rsidRPr="00591BD9">
              <w:rPr>
                <w:rFonts w:ascii="Times New Roman" w:hAnsi="Times New Roman" w:cs="Times New Roman"/>
                <w:sz w:val="20"/>
                <w:szCs w:val="20"/>
                <w:lang w:val="en-US"/>
              </w:rPr>
              <w:instrText>id</w:instrText>
            </w:r>
            <w:r w:rsidRPr="002B6607">
              <w:rPr>
                <w:rFonts w:ascii="Times New Roman" w:hAnsi="Times New Roman" w:cs="Times New Roman"/>
                <w:sz w:val="20"/>
                <w:szCs w:val="20"/>
              </w:rPr>
              <w:instrText>" : "</w:instrText>
            </w:r>
            <w:r w:rsidRPr="00591BD9">
              <w:rPr>
                <w:rFonts w:ascii="Times New Roman" w:hAnsi="Times New Roman" w:cs="Times New Roman"/>
                <w:sz w:val="20"/>
                <w:szCs w:val="20"/>
                <w:lang w:val="en-US"/>
              </w:rPr>
              <w:instrText>ITEM</w:instrText>
            </w:r>
            <w:r w:rsidRPr="002B6607">
              <w:rPr>
                <w:rFonts w:ascii="Times New Roman" w:hAnsi="Times New Roman" w:cs="Times New Roman"/>
                <w:sz w:val="20"/>
                <w:szCs w:val="20"/>
              </w:rPr>
              <w:instrText>-1", "</w:instrText>
            </w:r>
            <w:r w:rsidRPr="00591BD9">
              <w:rPr>
                <w:rFonts w:ascii="Times New Roman" w:hAnsi="Times New Roman" w:cs="Times New Roman"/>
                <w:sz w:val="20"/>
                <w:szCs w:val="20"/>
                <w:lang w:val="en-US"/>
              </w:rPr>
              <w:instrText>itemData</w:instrText>
            </w:r>
            <w:r w:rsidRPr="002B6607">
              <w:rPr>
                <w:rFonts w:ascii="Times New Roman" w:hAnsi="Times New Roman" w:cs="Times New Roman"/>
                <w:sz w:val="20"/>
                <w:szCs w:val="20"/>
              </w:rPr>
              <w:instrText>" : { "</w:instrText>
            </w:r>
            <w:r w:rsidRPr="00591BD9">
              <w:rPr>
                <w:rFonts w:ascii="Times New Roman" w:hAnsi="Times New Roman" w:cs="Times New Roman"/>
                <w:sz w:val="20"/>
                <w:szCs w:val="20"/>
                <w:lang w:val="en-US"/>
              </w:rPr>
              <w:instrText>DOI</w:instrText>
            </w:r>
            <w:r w:rsidRPr="002B6607">
              <w:rPr>
                <w:rFonts w:ascii="Times New Roman" w:hAnsi="Times New Roman" w:cs="Times New Roman"/>
                <w:sz w:val="20"/>
                <w:szCs w:val="20"/>
              </w:rPr>
              <w:instrText>" : "10.1021/</w:instrText>
            </w:r>
            <w:r w:rsidRPr="00591BD9">
              <w:rPr>
                <w:rFonts w:ascii="Times New Roman" w:hAnsi="Times New Roman" w:cs="Times New Roman"/>
                <w:sz w:val="20"/>
                <w:szCs w:val="20"/>
                <w:lang w:val="en-US"/>
              </w:rPr>
              <w:instrText>jacs</w:instrText>
            </w:r>
            <w:r w:rsidRPr="002B6607">
              <w:rPr>
                <w:rFonts w:ascii="Times New Roman" w:hAnsi="Times New Roman" w:cs="Times New Roman"/>
                <w:sz w:val="20"/>
                <w:szCs w:val="20"/>
              </w:rPr>
              <w:instrText>.9</w:instrText>
            </w:r>
            <w:r w:rsidRPr="00591BD9">
              <w:rPr>
                <w:rFonts w:ascii="Times New Roman" w:hAnsi="Times New Roman" w:cs="Times New Roman"/>
                <w:sz w:val="20"/>
                <w:szCs w:val="20"/>
                <w:lang w:val="en-US"/>
              </w:rPr>
              <w:instrText>b</w:instrText>
            </w:r>
            <w:r w:rsidRPr="002B6607">
              <w:rPr>
                <w:rFonts w:ascii="Times New Roman" w:hAnsi="Times New Roman" w:cs="Times New Roman"/>
                <w:sz w:val="20"/>
                <w:szCs w:val="20"/>
              </w:rPr>
              <w:instrText>05470", "</w:instrText>
            </w:r>
            <w:r w:rsidRPr="00591BD9">
              <w:rPr>
                <w:rFonts w:ascii="Times New Roman" w:hAnsi="Times New Roman" w:cs="Times New Roman"/>
                <w:sz w:val="20"/>
                <w:szCs w:val="20"/>
                <w:lang w:val="en-US"/>
              </w:rPr>
              <w:instrText>ISSN</w:instrText>
            </w:r>
            <w:r w:rsidRPr="002B6607">
              <w:rPr>
                <w:rFonts w:ascii="Times New Roman" w:hAnsi="Times New Roman" w:cs="Times New Roman"/>
                <w:sz w:val="20"/>
                <w:szCs w:val="20"/>
              </w:rPr>
              <w:instrText>" : "15205126", "</w:instrText>
            </w:r>
            <w:r w:rsidRPr="00591BD9">
              <w:rPr>
                <w:rFonts w:ascii="Times New Roman" w:hAnsi="Times New Roman" w:cs="Times New Roman"/>
                <w:sz w:val="20"/>
                <w:szCs w:val="20"/>
                <w:lang w:val="en-US"/>
              </w:rPr>
              <w:instrText>PMID</w:instrText>
            </w:r>
            <w:r w:rsidRPr="002B6607">
              <w:rPr>
                <w:rFonts w:ascii="Times New Roman" w:hAnsi="Times New Roman" w:cs="Times New Roman"/>
                <w:sz w:val="20"/>
                <w:szCs w:val="20"/>
              </w:rPr>
              <w:instrText>" : "31328519", "</w:instrText>
            </w:r>
            <w:r w:rsidRPr="00591BD9">
              <w:rPr>
                <w:rFonts w:ascii="Times New Roman" w:hAnsi="Times New Roman" w:cs="Times New Roman"/>
                <w:sz w:val="20"/>
                <w:szCs w:val="20"/>
                <w:lang w:val="en-US"/>
              </w:rPr>
              <w:instrText>abstract</w:instrText>
            </w:r>
            <w:r w:rsidRPr="002B6607">
              <w:rPr>
                <w:rFonts w:ascii="Times New Roman" w:hAnsi="Times New Roman" w:cs="Times New Roman"/>
                <w:sz w:val="20"/>
                <w:szCs w:val="20"/>
              </w:rPr>
              <w:instrText>" : "</w:instrText>
            </w:r>
            <w:r w:rsidRPr="00591BD9">
              <w:rPr>
                <w:rFonts w:ascii="Times New Roman" w:hAnsi="Times New Roman" w:cs="Times New Roman"/>
                <w:sz w:val="20"/>
                <w:szCs w:val="20"/>
                <w:lang w:val="en-US"/>
              </w:rPr>
              <w:instrText>The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ability</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to</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accurately</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identify</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isolate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cells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the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cornerstone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of</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precise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disease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diagnosis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therapies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single</w:instrText>
            </w:r>
            <w:r w:rsidRPr="002B6607">
              <w:rPr>
                <w:rFonts w:ascii="Times New Roman" w:hAnsi="Times New Roman" w:cs="Times New Roman"/>
                <w:sz w:val="20"/>
                <w:szCs w:val="20"/>
              </w:rPr>
              <w:instrText>-</w:instrText>
            </w:r>
            <w:r w:rsidRPr="00591BD9">
              <w:rPr>
                <w:rFonts w:ascii="Times New Roman" w:hAnsi="Times New Roman" w:cs="Times New Roman"/>
                <w:sz w:val="20"/>
                <w:szCs w:val="20"/>
                <w:lang w:val="en-US"/>
              </w:rPr>
              <w:instrText>step</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cell</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identification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method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based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logic</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analysis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of</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multiple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surface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markers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will</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have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unique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advantages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because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of</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its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accuracy</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efficacy</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Herein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using</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multiple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DNA</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aptamers</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for</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cancer</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biomarker</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recognition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associative</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toehold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activation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for</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signal</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integration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and</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amplification</w:instrText>
            </w:r>
            <w:r w:rsidRPr="002B6607">
              <w:rPr>
                <w:rFonts w:ascii="Times New Roman" w:hAnsi="Times New Roman" w:cs="Times New Roman"/>
                <w:sz w:val="20"/>
                <w:szCs w:val="20"/>
              </w:rPr>
              <w:instrText xml:space="preserve"> </w:instrText>
            </w:r>
            <w:r w:rsidRPr="00591BD9">
              <w:rPr>
                <w:rFonts w:ascii="Times New Roman" w:hAnsi="Times New Roman" w:cs="Times New Roman"/>
                <w:sz w:val="20"/>
                <w:szCs w:val="20"/>
                <w:lang w:val="en-US"/>
              </w:rPr>
              <w:instrText>as two molecular keys, we have successfully operated a cell-surface device that can perform AND Boolean logic analysis of multiple biomarkers and precisely label the target cell subtype in large populations of similar cells via the presence or absence of different biomarkers. Our approach can achieve single-step cancer cell identification and isolation with excellent sensitivity and accuracy and thus will have broad applications in biological science, biomedical engineering, and personalized medicine.", "author" : [ { "dropping-particle" : "", "family" : "Chang", "given" : "Xu", "non-dropping-particle" : "", "parse-names" : false, "suffix" : "" }, { "dropping-particle" : "", "family" : "Zhang", "given" : "Chao", "non-dropping-particle" : "", "parse-names" : false, "suffix" : "" }, { "dropping-particle" : "", "family" : "Lv", "given" : "Cheng", "non-dropping-particle" : "", "parse-names" : false, "suffix" : "" }, { "dropping-particle" : "", "family" : "Sun", "given" : "Yang", "non-dropping-particle" : "", "parse-names" : false, "suffix" : "" }, { "dropping-particle" : "", "family" : "Zhang", "given" : "Mingzhi", "non-dropping-particle" : "", "parse-names" : false, "suffix" : "" }, { "dropping-particle" : "", "family" : "Zhao", "given" : "Yumeng", "non-dropping-particle" : "", "parse-names" : false, "suffix" : "" }, { "dropping-particle" : "", "family" : "Yang", "given" : "Linlin", "non-dropping-particle" : "", "parse-names" : false, "suffix" : "" }, { "dropping-particle" : "", "family" : "Han", "given" : "Da", "non-dropping-particle" : "", "parse-names" : false, "suffix" : "" }, { "dropping-particle" : "", "family" : "Tan", "given" : "Weihong", "non-dropping-particle" : "", "parse-names" : false, "suffix" : "" } ], "container-title" : "Journal of the American Chemical Society", "id" : "ITEM-1", "issue" : "32", "issued" : { "date-parts" : [ [ "2019" ] ] }, "page" : "12738-12743", "title" : "Construction of a Multiple-Aptamer-Based DNA Logic Device on Live Cell Membranes via Associative Toehold Activation for Accurate Cancer Cell Identification", "type" : "article-journal", "volume" : "141" }, "uris" : [ "http://www.mendeley.com/documents/?uuid=bcebcfd9-7484-4ec0-816a-fbcbb901f910" ] } ], "mendeley" : { "formattedCitation" : "[40]", "plainTextFormattedCitation" : "[40]", "previouslyFormattedCitation" : "[40]" }, "properties" : { "noteIndex" : 0 }, "schema" : "https://github.com/citation-style-language/schema/raw/master/csl-citation.json" }</w:instrText>
            </w:r>
            <w:r w:rsidRPr="00591BD9">
              <w:rPr>
                <w:rFonts w:ascii="Times New Roman" w:hAnsi="Times New Roman" w:cs="Times New Roman"/>
                <w:sz w:val="20"/>
                <w:szCs w:val="20"/>
                <w:lang w:val="en-US"/>
              </w:rPr>
              <w:fldChar w:fldCharType="separate"/>
            </w:r>
            <w:r w:rsidRPr="00591BD9">
              <w:rPr>
                <w:rFonts w:ascii="Times New Roman" w:hAnsi="Times New Roman" w:cs="Times New Roman"/>
                <w:noProof/>
                <w:sz w:val="20"/>
                <w:szCs w:val="20"/>
                <w:lang w:val="en-US"/>
              </w:rPr>
              <w:t>[40]</w:t>
            </w:r>
            <w:r w:rsidRPr="00591BD9">
              <w:rPr>
                <w:rFonts w:ascii="Times New Roman" w:hAnsi="Times New Roman" w:cs="Times New Roman"/>
                <w:sz w:val="20"/>
                <w:szCs w:val="20"/>
                <w:lang w:val="en-US"/>
              </w:rPr>
              <w:fldChar w:fldCharType="end"/>
            </w:r>
          </w:p>
        </w:tc>
      </w:tr>
      <w:tr w:rsidR="002B6607" w:rsidRPr="009827EE" w:rsidTr="0098663C">
        <w:tc>
          <w:tcPr>
            <w:tcW w:w="14283" w:type="dxa"/>
            <w:gridSpan w:val="6"/>
            <w:vAlign w:val="center"/>
          </w:tcPr>
          <w:p w:rsidR="002B6607" w:rsidRPr="00591BD9" w:rsidRDefault="002B6607" w:rsidP="0098663C">
            <w:pPr>
              <w:rPr>
                <w:rFonts w:ascii="Times New Roman" w:hAnsi="Times New Roman" w:cs="Times New Roman"/>
                <w:b/>
                <w:sz w:val="20"/>
                <w:szCs w:val="20"/>
                <w:lang w:val="en-US"/>
              </w:rPr>
            </w:pPr>
            <w:r w:rsidRPr="00591BD9">
              <w:rPr>
                <w:rFonts w:ascii="Times New Roman" w:hAnsi="Times New Roman" w:cs="Times New Roman"/>
                <w:b/>
                <w:sz w:val="20"/>
                <w:szCs w:val="20"/>
                <w:lang w:val="en-US"/>
              </w:rPr>
              <w:t>Logic gates based on DNA origami</w:t>
            </w:r>
          </w:p>
        </w:tc>
      </w:tr>
      <w:tr w:rsidR="002B6607" w:rsidRPr="009827EE" w:rsidTr="0098663C">
        <w:tc>
          <w:tcPr>
            <w:tcW w:w="1951" w:type="dxa"/>
            <w:vAlign w:val="center"/>
          </w:tcPr>
          <w:p w:rsidR="002B6607" w:rsidRPr="0084762A"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Membrane targets for aptamers</w:t>
            </w:r>
          </w:p>
          <w:p w:rsidR="002B6607" w:rsidRDefault="002B6607" w:rsidP="0098663C">
            <w:pPr>
              <w:jc w:val="center"/>
              <w:rPr>
                <w:rFonts w:ascii="Times New Roman" w:hAnsi="Times New Roman" w:cs="Times New Roman"/>
                <w:sz w:val="20"/>
                <w:szCs w:val="20"/>
                <w:lang w:val="en-US"/>
              </w:rPr>
            </w:pPr>
            <w:r w:rsidRPr="0084762A">
              <w:rPr>
                <w:rFonts w:ascii="Times New Roman" w:hAnsi="Times New Roman" w:cs="Times New Roman"/>
                <w:sz w:val="20"/>
                <w:szCs w:val="20"/>
                <w:lang w:val="en-US"/>
              </w:rPr>
              <w:t>41t</w:t>
            </w:r>
          </w:p>
          <w:p w:rsidR="002B6607" w:rsidRDefault="002B6607" w:rsidP="0098663C">
            <w:pPr>
              <w:jc w:val="center"/>
              <w:rPr>
                <w:rFonts w:ascii="Times New Roman" w:hAnsi="Times New Roman" w:cs="Times New Roman"/>
                <w:sz w:val="20"/>
                <w:szCs w:val="20"/>
                <w:lang w:val="en-US"/>
              </w:rPr>
            </w:pPr>
            <w:r w:rsidRPr="0084762A">
              <w:rPr>
                <w:rFonts w:ascii="Times New Roman" w:hAnsi="Times New Roman" w:cs="Times New Roman"/>
                <w:sz w:val="20"/>
                <w:szCs w:val="20"/>
                <w:lang w:val="en-US"/>
              </w:rPr>
              <w:t>TE17</w:t>
            </w:r>
          </w:p>
          <w:p w:rsidR="002B6607" w:rsidRPr="009827EE" w:rsidRDefault="002B6607" w:rsidP="0098663C">
            <w:pPr>
              <w:jc w:val="center"/>
              <w:rPr>
                <w:rFonts w:ascii="Times New Roman" w:hAnsi="Times New Roman" w:cs="Times New Roman"/>
                <w:sz w:val="20"/>
                <w:szCs w:val="20"/>
                <w:lang w:val="en-US"/>
              </w:rPr>
            </w:pPr>
            <w:r w:rsidRPr="0084762A">
              <w:rPr>
                <w:rFonts w:ascii="Times New Roman" w:hAnsi="Times New Roman" w:cs="Times New Roman"/>
                <w:sz w:val="20"/>
                <w:szCs w:val="20"/>
                <w:lang w:val="en-US"/>
              </w:rPr>
              <w:t>sgc8c</w:t>
            </w:r>
          </w:p>
        </w:tc>
        <w:tc>
          <w:tcPr>
            <w:tcW w:w="2835" w:type="dxa"/>
            <w:vAlign w:val="center"/>
          </w:tcPr>
          <w:p w:rsidR="002B6607" w:rsidRPr="009827EE" w:rsidRDefault="002B6607" w:rsidP="0098663C">
            <w:pPr>
              <w:jc w:val="center"/>
              <w:rPr>
                <w:rFonts w:ascii="Times New Roman" w:hAnsi="Times New Roman" w:cs="Times New Roman"/>
                <w:sz w:val="20"/>
                <w:szCs w:val="20"/>
                <w:lang w:val="en-US"/>
              </w:rPr>
            </w:pPr>
            <w:proofErr w:type="spellStart"/>
            <w:r w:rsidRPr="009827EE">
              <w:rPr>
                <w:rFonts w:ascii="Times New Roman" w:hAnsi="Times New Roman" w:cs="Times New Roman"/>
                <w:sz w:val="20"/>
                <w:szCs w:val="20"/>
                <w:lang w:val="en-US"/>
              </w:rPr>
              <w:t>iANDi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target</w:t>
            </w:r>
          </w:p>
        </w:tc>
        <w:tc>
          <w:tcPr>
            <w:tcW w:w="2127" w:type="dxa"/>
            <w:vAlign w:val="center"/>
          </w:tcPr>
          <w:p w:rsidR="002B6607" w:rsidRPr="009827EE"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Fluorescence (</w:t>
            </w:r>
            <w:proofErr w:type="spellStart"/>
            <w:r w:rsidRPr="00992617">
              <w:rPr>
                <w:rFonts w:ascii="Times New Roman" w:hAnsi="Times New Roman" w:cs="Times New Roman"/>
                <w:sz w:val="20"/>
                <w:szCs w:val="20"/>
                <w:lang w:val="en-US"/>
              </w:rPr>
              <w:t>cytometry</w:t>
            </w:r>
            <w:proofErr w:type="spellEnd"/>
            <w:r>
              <w:rPr>
                <w:rFonts w:ascii="Times New Roman" w:hAnsi="Times New Roman" w:cs="Times New Roman"/>
                <w:sz w:val="20"/>
                <w:szCs w:val="20"/>
                <w:lang w:val="en-US"/>
              </w:rPr>
              <w:t>)</w:t>
            </w:r>
          </w:p>
        </w:tc>
        <w:tc>
          <w:tcPr>
            <w:tcW w:w="3118" w:type="dxa"/>
            <w:vAlign w:val="center"/>
          </w:tcPr>
          <w:p w:rsidR="002B6607" w:rsidRPr="00591BD9"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&gt;300</w:t>
            </w:r>
          </w:p>
        </w:tc>
        <w:tc>
          <w:tcPr>
            <w:tcW w:w="1559" w:type="dxa"/>
            <w:vAlign w:val="center"/>
          </w:tcPr>
          <w:p w:rsidR="002B6607" w:rsidRPr="00591BD9"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"10.1126/science.1214081", "ISSN" : "10959203", "PMID" : "22344439", "abstract" : "We describe an autonomous DNA nanorobot capable of transporting molecular payloads to cells, sensing cell surface inputs for conditional, triggered activation, and reconfiguring its structure for payload delivery. The device can be loaded with a variety of materials in a highly organized fashion and is controlled by an aptamer-encoded logic gate, enabling it to respond to a wide array of cues. We implemented several different logical AND gates and demonstrate their efficacy in selective regulation of nanorobot function. As a proof of principle, nanorobots loaded with combinations of antibody fragments were used in two different types of cell-signaling stimulation in tissue culture. Our prototype could inspire new designs with different selectivities and biologically active payloads for cell-targeting tasks.", "author" : [ { "dropping-particle" : "", "family" : "Douglas", "given" : "Shawn M.", "non-dropping-particle" : "", "parse-names" : false, "suffix" : "" }, { "dropping-particle" : "", "family" : "Bachelet", "given" : "Ido", "non-dropping-particle" : "", "parse-names" : false, "suffix" : "" }, { "dropping-particle" : "", "family" : "Church", "given" : "George M.", "non-dropping-particle" : "", "parse-names" : false, "suffix" : "" } ], "container-title" : "Science", "id" : "ITEM-1", "issue" : "6070", "issued" : { "date-parts" : [ [ "2012" ] ] }, "page" : "831-834", "title" : "A logic-gated nanorobot for targeted transport of molecular payloads", "type" : "article-journal", "volume" : "335" }, "uris" : [ "http://www.mendeley.com/documents/?uuid=1c25d565-1b13-49f7-b9bf-2210f0371a41" ] } ], "mendeley" : { "formattedCitation" : "[41]", "plainTextFormattedCitation" : "[41]", "previouslyFormattedCitation" : "[41]" }, "properties" : { "noteIndex" : 0 }, "schema" : "https://github.com/citation-style-language/schema/raw/master/csl-citation.json" }</w:instrText>
            </w:r>
            <w:r>
              <w:rPr>
                <w:rFonts w:ascii="Times New Roman" w:hAnsi="Times New Roman" w:cs="Times New Roman"/>
                <w:sz w:val="20"/>
                <w:szCs w:val="20"/>
                <w:lang w:val="en-US"/>
              </w:rPr>
              <w:fldChar w:fldCharType="separate"/>
            </w:r>
            <w:r w:rsidRPr="0084762A">
              <w:rPr>
                <w:rFonts w:ascii="Times New Roman" w:hAnsi="Times New Roman" w:cs="Times New Roman"/>
                <w:noProof/>
                <w:sz w:val="20"/>
                <w:szCs w:val="20"/>
                <w:lang w:val="en-US"/>
              </w:rPr>
              <w:t>[41]</w:t>
            </w:r>
            <w:r>
              <w:rPr>
                <w:rFonts w:ascii="Times New Roman" w:hAnsi="Times New Roman" w:cs="Times New Roman"/>
                <w:sz w:val="20"/>
                <w:szCs w:val="20"/>
                <w:lang w:val="en-US"/>
              </w:rPr>
              <w:fldChar w:fldCharType="end"/>
            </w:r>
          </w:p>
        </w:tc>
      </w:tr>
      <w:tr w:rsidR="002B6607" w:rsidRPr="009827EE" w:rsidTr="0098663C">
        <w:tc>
          <w:tcPr>
            <w:tcW w:w="1951" w:type="dxa"/>
            <w:vAlign w:val="center"/>
          </w:tcPr>
          <w:p w:rsidR="002B6607" w:rsidRPr="0084762A"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Membrane targets for aptamers</w:t>
            </w:r>
          </w:p>
          <w:p w:rsidR="002B6607" w:rsidRDefault="002B6607" w:rsidP="0098663C">
            <w:pPr>
              <w:jc w:val="center"/>
              <w:rPr>
                <w:rFonts w:ascii="Times New Roman" w:hAnsi="Times New Roman" w:cs="Times New Roman"/>
                <w:sz w:val="20"/>
                <w:szCs w:val="20"/>
                <w:lang w:val="en-US"/>
              </w:rPr>
            </w:pPr>
            <w:r w:rsidRPr="0084762A">
              <w:rPr>
                <w:rFonts w:ascii="Times New Roman" w:hAnsi="Times New Roman" w:cs="Times New Roman"/>
                <w:sz w:val="20"/>
                <w:szCs w:val="20"/>
                <w:lang w:val="en-US"/>
              </w:rPr>
              <w:t>PDGF</w:t>
            </w:r>
          </w:p>
          <w:p w:rsidR="002B6607" w:rsidRPr="009827EE" w:rsidRDefault="002B6607" w:rsidP="0098663C">
            <w:pPr>
              <w:jc w:val="center"/>
              <w:rPr>
                <w:rFonts w:ascii="Times New Roman" w:hAnsi="Times New Roman" w:cs="Times New Roman"/>
                <w:sz w:val="20"/>
                <w:szCs w:val="20"/>
                <w:lang w:val="en-US"/>
              </w:rPr>
            </w:pPr>
            <w:r w:rsidRPr="0084762A">
              <w:rPr>
                <w:rFonts w:ascii="Times New Roman" w:hAnsi="Times New Roman" w:cs="Times New Roman"/>
                <w:sz w:val="20"/>
                <w:szCs w:val="20"/>
                <w:lang w:val="en-US"/>
              </w:rPr>
              <w:t>VEGF</w:t>
            </w:r>
          </w:p>
        </w:tc>
        <w:tc>
          <w:tcPr>
            <w:tcW w:w="2835" w:type="dxa"/>
            <w:vAlign w:val="center"/>
          </w:tcPr>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84762A">
              <w:rPr>
                <w:rFonts w:ascii="Times New Roman" w:hAnsi="Times New Roman" w:cs="Times New Roman"/>
                <w:sz w:val="20"/>
                <w:szCs w:val="20"/>
                <w:lang w:val="en-US"/>
              </w:rPr>
              <w:t>AND</w:t>
            </w:r>
            <w:r>
              <w:rPr>
                <w:rFonts w:ascii="Times New Roman" w:hAnsi="Times New Roman" w:cs="Times New Roman"/>
                <w:sz w:val="20"/>
                <w:szCs w:val="20"/>
                <w:lang w:val="en-US"/>
              </w:rPr>
              <w:t>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84762A">
              <w:rPr>
                <w:rFonts w:ascii="Times New Roman" w:hAnsi="Times New Roman" w:cs="Times New Roman"/>
                <w:sz w:val="20"/>
                <w:szCs w:val="20"/>
                <w:lang w:val="en-US"/>
              </w:rPr>
              <w:t>OR</w:t>
            </w:r>
            <w:r>
              <w:rPr>
                <w:rFonts w:ascii="Times New Roman" w:hAnsi="Times New Roman" w:cs="Times New Roman"/>
                <w:sz w:val="20"/>
                <w:szCs w:val="20"/>
                <w:lang w:val="en-US"/>
              </w:rPr>
              <w:t>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84762A">
              <w:rPr>
                <w:rFonts w:ascii="Times New Roman" w:hAnsi="Times New Roman" w:cs="Times New Roman"/>
                <w:sz w:val="20"/>
                <w:szCs w:val="20"/>
                <w:lang w:val="en-US"/>
              </w:rPr>
              <w:t>XOR</w:t>
            </w:r>
            <w:r>
              <w:rPr>
                <w:rFonts w:ascii="Times New Roman" w:hAnsi="Times New Roman" w:cs="Times New Roman"/>
                <w:sz w:val="20"/>
                <w:szCs w:val="20"/>
                <w:lang w:val="en-US"/>
              </w:rPr>
              <w:t>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iNANDi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84762A">
              <w:rPr>
                <w:rFonts w:ascii="Times New Roman" w:hAnsi="Times New Roman" w:cs="Times New Roman"/>
                <w:sz w:val="20"/>
                <w:szCs w:val="20"/>
                <w:lang w:val="en-US"/>
              </w:rPr>
              <w:t>NOT</w:t>
            </w:r>
            <w:r>
              <w:rPr>
                <w:rFonts w:ascii="Times New Roman" w:hAnsi="Times New Roman" w:cs="Times New Roman"/>
                <w:sz w:val="20"/>
                <w:szCs w:val="20"/>
                <w:lang w:val="en-US"/>
              </w:rPr>
              <w:t>i</w:t>
            </w:r>
            <w:proofErr w:type="spellEnd"/>
          </w:p>
          <w:p w:rsidR="002B6607" w:rsidRPr="0084762A"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84762A">
              <w:rPr>
                <w:rFonts w:ascii="Times New Roman" w:hAnsi="Times New Roman" w:cs="Times New Roman"/>
                <w:sz w:val="20"/>
                <w:szCs w:val="20"/>
                <w:lang w:val="en-US"/>
              </w:rPr>
              <w:t>CNOT</w:t>
            </w:r>
            <w:r>
              <w:rPr>
                <w:rFonts w:ascii="Times New Roman" w:hAnsi="Times New Roman" w:cs="Times New Roman"/>
                <w:sz w:val="20"/>
                <w:szCs w:val="20"/>
                <w:lang w:val="en-US"/>
              </w:rPr>
              <w:t>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sidRPr="00992617">
              <w:rPr>
                <w:rFonts w:ascii="Times New Roman" w:hAnsi="Times New Roman" w:cs="Times New Roman"/>
                <w:sz w:val="20"/>
                <w:szCs w:val="20"/>
                <w:lang w:val="en-US"/>
              </w:rPr>
              <w:t>Fluorescence (</w:t>
            </w:r>
            <w:proofErr w:type="spellStart"/>
            <w:r w:rsidRPr="00992617">
              <w:rPr>
                <w:rFonts w:ascii="Times New Roman" w:hAnsi="Times New Roman" w:cs="Times New Roman"/>
                <w:sz w:val="20"/>
                <w:szCs w:val="20"/>
                <w:lang w:val="en-US"/>
              </w:rPr>
              <w:t>cytometry</w:t>
            </w:r>
            <w:proofErr w:type="spellEnd"/>
            <w:r>
              <w:rPr>
                <w:rFonts w:ascii="Times New Roman" w:hAnsi="Times New Roman" w:cs="Times New Roman"/>
                <w:sz w:val="20"/>
                <w:szCs w:val="20"/>
                <w:lang w:val="en-US"/>
              </w:rPr>
              <w:t>)</w:t>
            </w:r>
          </w:p>
        </w:tc>
        <w:tc>
          <w:tcPr>
            <w:tcW w:w="3118"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Several hours</w:t>
            </w:r>
          </w:p>
        </w:tc>
        <w:tc>
          <w:tcPr>
            <w:tcW w:w="1559"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"10.1038/nnano.2014.58", "ISSN" : "17483395", "PMID" : "24705510", "abstract" : "Biological systems are collections of discrete molecular objects that move around and collide with each other. Cells carry out elaborate processes by precisely controlling these collisions, but developing artificial machines that can interface with and control such interactions remains a significant challenge. DNA is a natural substrate for computing and has been used to implement a diverse set of mathematical problems, logic circuits and robotics. The molecule also interfaces naturally with living systems, and different forms of DNA-based biocomputing have already been demonstrated. Here, we show that DNA origami can be used to fabricate nanoscale robots that are capable of dynamically interacting with each other in a living animal. The interactions generate logical outputs, which are relayed to switch molecular payloads on or off. As a proof of principle, we use the system to create architectures that emulate various logic gates (AND, OR, XOR, NAND, NOT, CNOT and a half adder). Following an ex vivo prototyping phase, we successfully used the DNA origami robots in living cockroaches (Blaberus discoidalis) to control a molecule that targets their cells. \u00a9 2014 Macmillan Publishers Limited. All rights reserved.", "author" : [ { "dropping-particle" : "", "family" : "Amir", "given" : "Yaniv", "non-dropping-particle" : "", "parse-names" : false, "suffix" : "" }, { "dropping-particle" : "", "family" : "Ben-Ishay", "given" : "Eldad", "non-dropping-particle" : "", "parse-names" : false, "suffix" : "" }, { "dropping-particle" : "", "family" : "Levner", "given" : "Daniel", "non-dropping-particle" : "", "parse-names" : false, "suffix" : "" }, { "dropping-particle" : "", "family" : "Ittah", "given" : "Shmulik", "non-dropping-particle" : "", "parse-names" : false, "suffix" : "" }, { "dropping-particle" : "", "family" : "Abu-Horowitz", "given" : "Almogit", "non-dropping-particle" : "", "parse-names" : false, "suffix" : "" }, { "dropping-particle" : "", "family" : "Bachelet", "given" : "Ido", "non-dropping-particle" : "", "parse-names" : false, "suffix" : "" } ], "container-title" : "Nature Nanotechnology", "id" : "ITEM-1", "issue" : "5", "issued" : { "date-parts" : [ [ "2014" ] ] }, "page" : "353-357", "title" : "Universal computing by DNA origami robots in a living animal", "type" : "article-journal", "volume" : "9" }, "uris" : [ "http://www.mendeley.com/documents/?uuid=99c6b25d-c7ee-4fed-a18c-152955fde081" ] } ], "mendeley" : { "formattedCitation" : "[42]", "plainTextFormattedCitation" : "[42]", "previouslyFormattedCitation" : "[42]" }, "properties" : { "noteIndex" : 0 }, "schema" : "https://github.com/citation-style-language/schema/raw/master/csl-citation.json" }</w:instrText>
            </w:r>
            <w:r>
              <w:rPr>
                <w:rFonts w:ascii="Times New Roman" w:hAnsi="Times New Roman" w:cs="Times New Roman"/>
                <w:sz w:val="20"/>
                <w:szCs w:val="20"/>
                <w:lang w:val="en-US"/>
              </w:rPr>
              <w:fldChar w:fldCharType="separate"/>
            </w:r>
            <w:r w:rsidRPr="0084762A">
              <w:rPr>
                <w:rFonts w:ascii="Times New Roman" w:hAnsi="Times New Roman" w:cs="Times New Roman"/>
                <w:noProof/>
                <w:sz w:val="20"/>
                <w:szCs w:val="20"/>
                <w:lang w:val="en-US"/>
              </w:rPr>
              <w:t>[42]</w:t>
            </w:r>
            <w:r>
              <w:rPr>
                <w:rFonts w:ascii="Times New Roman" w:hAnsi="Times New Roman" w:cs="Times New Roman"/>
                <w:sz w:val="20"/>
                <w:szCs w:val="20"/>
                <w:lang w:val="en-US"/>
              </w:rPr>
              <w:fldChar w:fldCharType="end"/>
            </w:r>
          </w:p>
        </w:tc>
      </w:tr>
      <w:tr w:rsidR="002B6607" w:rsidRPr="009827EE" w:rsidTr="0098663C">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ATP</w:t>
            </w:r>
          </w:p>
          <w:p w:rsidR="002B6607" w:rsidRPr="009827EE"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Cocaine</w:t>
            </w:r>
          </w:p>
        </w:tc>
        <w:tc>
          <w:tcPr>
            <w:tcW w:w="2835" w:type="dxa"/>
            <w:vAlign w:val="center"/>
          </w:tcPr>
          <w:p w:rsidR="002B6607" w:rsidRDefault="002B6607" w:rsidP="0098663C">
            <w:pPr>
              <w:jc w:val="center"/>
              <w:rPr>
                <w:rFonts w:ascii="Times New Roman" w:hAnsi="Times New Roman" w:cs="Times New Roman"/>
                <w:sz w:val="20"/>
                <w:szCs w:val="20"/>
                <w:lang w:val="en-US"/>
              </w:rPr>
            </w:pPr>
            <w:r w:rsidRPr="002423D8">
              <w:rPr>
                <w:rFonts w:ascii="Times New Roman" w:hAnsi="Times New Roman" w:cs="Times New Roman"/>
                <w:sz w:val="20"/>
                <w:szCs w:val="20"/>
                <w:lang w:val="en-US"/>
              </w:rPr>
              <w:t>YES</w:t>
            </w:r>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2423D8">
              <w:rPr>
                <w:rFonts w:ascii="Times New Roman" w:hAnsi="Times New Roman" w:cs="Times New Roman"/>
                <w:sz w:val="20"/>
                <w:szCs w:val="20"/>
                <w:lang w:val="en-US"/>
              </w:rPr>
              <w:t>OR</w:t>
            </w:r>
            <w:r>
              <w:rPr>
                <w:rFonts w:ascii="Times New Roman" w:hAnsi="Times New Roman" w:cs="Times New Roman"/>
                <w:sz w:val="20"/>
                <w:szCs w:val="20"/>
                <w:lang w:val="en-US"/>
              </w:rPr>
              <w:t>i</w:t>
            </w:r>
            <w:proofErr w:type="spellEnd"/>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2423D8">
              <w:rPr>
                <w:rFonts w:ascii="Times New Roman" w:hAnsi="Times New Roman" w:cs="Times New Roman"/>
                <w:sz w:val="20"/>
                <w:szCs w:val="20"/>
                <w:lang w:val="en-US"/>
              </w:rPr>
              <w:t>AND</w:t>
            </w:r>
            <w:r>
              <w:rPr>
                <w:rFonts w:ascii="Times New Roman" w:hAnsi="Times New Roman" w:cs="Times New Roman"/>
                <w:sz w:val="20"/>
                <w:szCs w:val="20"/>
                <w:lang w:val="en-US"/>
              </w:rPr>
              <w:t>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target</w:t>
            </w:r>
            <w:r>
              <w:rPr>
                <w:rFonts w:ascii="Times New Roman" w:hAnsi="Times New Roman" w:cs="Times New Roman"/>
                <w:sz w:val="20"/>
                <w:szCs w:val="20"/>
                <w:lang w:val="en-US"/>
              </w:rPr>
              <w:t>; f</w:t>
            </w:r>
            <w:r w:rsidRPr="009827EE">
              <w:rPr>
                <w:rFonts w:ascii="Times New Roman" w:hAnsi="Times New Roman" w:cs="Times New Roman"/>
                <w:sz w:val="20"/>
                <w:szCs w:val="20"/>
                <w:lang w:val="en-US"/>
              </w:rPr>
              <w:t>ormation of a complex of an aptamer with a target</w:t>
            </w:r>
          </w:p>
        </w:tc>
        <w:tc>
          <w:tcPr>
            <w:tcW w:w="2127" w:type="dxa"/>
            <w:vAlign w:val="center"/>
          </w:tcPr>
          <w:p w:rsidR="002B6607" w:rsidRPr="0099261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w:t>
            </w:r>
            <w:r w:rsidRPr="002423D8">
              <w:rPr>
                <w:rFonts w:ascii="Times New Roman" w:hAnsi="Times New Roman" w:cs="Times New Roman"/>
                <w:sz w:val="20"/>
                <w:szCs w:val="20"/>
                <w:lang w:val="en-US"/>
              </w:rPr>
              <w:t>tomic force microscopy</w:t>
            </w:r>
            <w:r>
              <w:rPr>
                <w:rFonts w:ascii="Times New Roman" w:hAnsi="Times New Roman" w:cs="Times New Roman"/>
                <w:sz w:val="20"/>
                <w:szCs w:val="20"/>
                <w:lang w:val="en-US"/>
              </w:rPr>
              <w:t xml:space="preserve">, fluorescence (cleaving </w:t>
            </w:r>
            <w:proofErr w:type="spellStart"/>
            <w:r>
              <w:rPr>
                <w:rFonts w:ascii="Times New Roman" w:hAnsi="Times New Roman" w:cs="Times New Roman"/>
                <w:sz w:val="20"/>
                <w:szCs w:val="20"/>
                <w:lang w:val="en-US"/>
              </w:rPr>
              <w:t>DNAzyme</w:t>
            </w:r>
            <w:proofErr w:type="spellEnd"/>
            <w:r>
              <w:rPr>
                <w:rFonts w:ascii="Times New Roman" w:hAnsi="Times New Roman" w:cs="Times New Roman"/>
                <w:sz w:val="20"/>
                <w:szCs w:val="20"/>
                <w:lang w:val="en-US"/>
              </w:rPr>
              <w:t>)</w:t>
            </w:r>
          </w:p>
        </w:tc>
        <w:tc>
          <w:tcPr>
            <w:tcW w:w="3118"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500</w:t>
            </w:r>
          </w:p>
        </w:tc>
        <w:tc>
          <w:tcPr>
            <w:tcW w:w="1559"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"10.1021/acsami.6b10266", "ISSN" : "19448252", "PMID" : "27960418", "abstract" : "In this study, an aptamer-substrate strategy is introduced to control programmable DNA origami pattern. Combined with DNA aptamer-substrate binding and DNAzyme-cutting, small DNA tiles were specifically controlled to fill into the predesigned DNA origami frame. Here, a set of DNA logic gates (OR, YES, and AND) are performed in response to the stimuli of adenosine triphosphate (ATP) and cocaine. The experimental results are confirmed by AFM imaging and time-dependent fluorescence changes, demonstrating that the geometric patterns are regulated in a controllable and programmable manner. Our approach provides a new platform for engineering programmable origami nanopatterns and constructing complex DNA nanodevices.", "author" : [ { "dropping-particle" : "", "family" : "Yang", "given" : "Jing", "non-dropping-particle" : "", "parse-names" : false, "suffix" : "" }, { "dropping-particle" : "", "family" : "Jiang", "given" : "Shuoxing", "non-dropping-particle" : "", "parse-names" : false, "suffix" : "" }, { "dropping-particle" : "", "family" : "Liu", "given" : "Xiangrong", "non-dropping-particle" : "", "parse-names" : false, "suffix" : "" }, { "dropping-particle" : "", "family" : "Pan", "given" : "Linqiang", "non-dropping-particle" : "", "parse-names" : false, "suffix" : "" }, { "dropping-particle" : "", "family" : "Zhang", "given" : "Cheng", "non-dropping-particle" : "", "parse-names" : false, "suffix" : "" } ], "container-title" : "ACS Applied Materials and Interfaces", "id" : "ITEM-1", "issue" : "49", "issued" : { "date-parts" : [ [ "2016" ] ] }, "page" : "34054-34060", "title" : "Aptamer-Binding Directed DNA Origami Pattern for Logic Gates", "type" : "article-journal", "volume" : "8" }, "uris" : [ "http://www.mendeley.com/documents/?uuid=e93897d9-f5e4-4028-bc3f-0f99c2719325" ] } ], "mendeley" : { "formattedCitation" : "[43]", "plainTextFormattedCitation" : "[43]", "previouslyFormattedCitation" : "[43]" }, "properties" : { "noteIndex" : 0 }, "schema" : "https://github.com/citation-style-language/schema/raw/master/csl-citation.json" }</w:instrText>
            </w:r>
            <w:r>
              <w:rPr>
                <w:rFonts w:ascii="Times New Roman" w:hAnsi="Times New Roman" w:cs="Times New Roman"/>
                <w:sz w:val="20"/>
                <w:szCs w:val="20"/>
                <w:lang w:val="en-US"/>
              </w:rPr>
              <w:fldChar w:fldCharType="separate"/>
            </w:r>
            <w:r w:rsidRPr="000F2B1C">
              <w:rPr>
                <w:rFonts w:ascii="Times New Roman" w:hAnsi="Times New Roman" w:cs="Times New Roman"/>
                <w:noProof/>
                <w:sz w:val="20"/>
                <w:szCs w:val="20"/>
                <w:lang w:val="en-US"/>
              </w:rPr>
              <w:t>[43]</w:t>
            </w:r>
            <w:r>
              <w:rPr>
                <w:rFonts w:ascii="Times New Roman" w:hAnsi="Times New Roman" w:cs="Times New Roman"/>
                <w:sz w:val="20"/>
                <w:szCs w:val="20"/>
                <w:lang w:val="en-US"/>
              </w:rPr>
              <w:fldChar w:fldCharType="end"/>
            </w:r>
          </w:p>
        </w:tc>
      </w:tr>
      <w:tr w:rsidR="002B6607" w:rsidRPr="009827EE" w:rsidTr="0098663C">
        <w:tc>
          <w:tcPr>
            <w:tcW w:w="1951"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ATP</w:t>
            </w:r>
          </w:p>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Cocaine</w:t>
            </w:r>
          </w:p>
        </w:tc>
        <w:tc>
          <w:tcPr>
            <w:tcW w:w="2835" w:type="dxa"/>
            <w:vAlign w:val="center"/>
          </w:tcPr>
          <w:p w:rsidR="002B6607" w:rsidRDefault="002B6607" w:rsidP="0098663C">
            <w:pPr>
              <w:jc w:val="center"/>
              <w:rPr>
                <w:rFonts w:ascii="Times New Roman" w:hAnsi="Times New Roman" w:cs="Times New Roman"/>
                <w:sz w:val="20"/>
                <w:szCs w:val="20"/>
                <w:lang w:val="en-US"/>
              </w:rPr>
            </w:pPr>
            <w:r w:rsidRPr="000F2B1C">
              <w:rPr>
                <w:rFonts w:ascii="Times New Roman" w:hAnsi="Times New Roman" w:cs="Times New Roman"/>
                <w:sz w:val="20"/>
                <w:szCs w:val="20"/>
                <w:lang w:val="en-US"/>
              </w:rPr>
              <w:t>Conditionally</w:t>
            </w:r>
          </w:p>
          <w:p w:rsidR="002B6607"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2423D8">
              <w:rPr>
                <w:rFonts w:ascii="Times New Roman" w:hAnsi="Times New Roman" w:cs="Times New Roman"/>
                <w:sz w:val="20"/>
                <w:szCs w:val="20"/>
                <w:lang w:val="en-US"/>
              </w:rPr>
              <w:t>OR</w:t>
            </w:r>
            <w:r>
              <w:rPr>
                <w:rFonts w:ascii="Times New Roman" w:hAnsi="Times New Roman" w:cs="Times New Roman"/>
                <w:sz w:val="20"/>
                <w:szCs w:val="20"/>
                <w:lang w:val="en-US"/>
              </w:rPr>
              <w:t>i</w:t>
            </w:r>
            <w:proofErr w:type="spellEnd"/>
          </w:p>
          <w:p w:rsidR="002B6607" w:rsidRPr="002423D8" w:rsidRDefault="002B6607" w:rsidP="0098663C">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i</w:t>
            </w:r>
            <w:r w:rsidRPr="002423D8">
              <w:rPr>
                <w:rFonts w:ascii="Times New Roman" w:hAnsi="Times New Roman" w:cs="Times New Roman"/>
                <w:sz w:val="20"/>
                <w:szCs w:val="20"/>
                <w:lang w:val="en-US"/>
              </w:rPr>
              <w:t>AND</w:t>
            </w:r>
            <w:r>
              <w:rPr>
                <w:rFonts w:ascii="Times New Roman" w:hAnsi="Times New Roman" w:cs="Times New Roman"/>
                <w:sz w:val="20"/>
                <w:szCs w:val="20"/>
                <w:lang w:val="en-US"/>
              </w:rPr>
              <w:t>i</w:t>
            </w:r>
            <w:proofErr w:type="spellEnd"/>
          </w:p>
        </w:tc>
        <w:tc>
          <w:tcPr>
            <w:tcW w:w="2693" w:type="dxa"/>
            <w:vAlign w:val="center"/>
          </w:tcPr>
          <w:p w:rsidR="002B6607" w:rsidRPr="009827EE" w:rsidRDefault="002B6607" w:rsidP="0098663C">
            <w:pPr>
              <w:jc w:val="center"/>
              <w:rPr>
                <w:rFonts w:ascii="Times New Roman" w:hAnsi="Times New Roman" w:cs="Times New Roman"/>
                <w:sz w:val="20"/>
                <w:szCs w:val="20"/>
                <w:lang w:val="en-US"/>
              </w:rPr>
            </w:pPr>
            <w:r w:rsidRPr="009827EE">
              <w:rPr>
                <w:rFonts w:ascii="Times New Roman" w:hAnsi="Times New Roman" w:cs="Times New Roman"/>
                <w:sz w:val="20"/>
                <w:szCs w:val="20"/>
                <w:lang w:val="en-US"/>
              </w:rPr>
              <w:t xml:space="preserve">Switching of an aptamer from </w:t>
            </w:r>
            <w:proofErr w:type="spellStart"/>
            <w:r w:rsidRPr="009827EE">
              <w:rPr>
                <w:rFonts w:ascii="Times New Roman" w:hAnsi="Times New Roman" w:cs="Times New Roman"/>
                <w:sz w:val="20"/>
                <w:szCs w:val="20"/>
                <w:lang w:val="en-US"/>
              </w:rPr>
              <w:t>dsDNA</w:t>
            </w:r>
            <w:proofErr w:type="spellEnd"/>
            <w:r w:rsidRPr="009827EE">
              <w:rPr>
                <w:rFonts w:ascii="Times New Roman" w:hAnsi="Times New Roman" w:cs="Times New Roman"/>
                <w:sz w:val="20"/>
                <w:szCs w:val="20"/>
                <w:lang w:val="en-US"/>
              </w:rPr>
              <w:t xml:space="preserve"> to a complex with a target</w:t>
            </w:r>
          </w:p>
        </w:tc>
        <w:tc>
          <w:tcPr>
            <w:tcW w:w="2127" w:type="dxa"/>
            <w:vAlign w:val="center"/>
          </w:tcPr>
          <w:p w:rsidR="002B6607" w:rsidRPr="000F2B1C"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A</w:t>
            </w:r>
            <w:r w:rsidRPr="000F2B1C">
              <w:rPr>
                <w:rFonts w:ascii="Times New Roman" w:hAnsi="Times New Roman" w:cs="Times New Roman"/>
                <w:sz w:val="20"/>
                <w:szCs w:val="20"/>
                <w:lang w:val="en-US"/>
              </w:rPr>
              <w:t>tomic force microscopy</w:t>
            </w:r>
            <w:r>
              <w:rPr>
                <w:rFonts w:ascii="Times New Roman" w:hAnsi="Times New Roman" w:cs="Times New Roman"/>
                <w:sz w:val="20"/>
                <w:szCs w:val="20"/>
                <w:lang w:val="en-US"/>
              </w:rPr>
              <w:t xml:space="preserve">, </w:t>
            </w:r>
            <w:r w:rsidRPr="000F2B1C">
              <w:rPr>
                <w:rFonts w:ascii="Times New Roman" w:hAnsi="Times New Roman" w:cs="Times New Roman"/>
                <w:sz w:val="20"/>
                <w:szCs w:val="20"/>
                <w:lang w:val="en-US"/>
              </w:rPr>
              <w:t>PAGE electrophoresis</w:t>
            </w:r>
          </w:p>
        </w:tc>
        <w:tc>
          <w:tcPr>
            <w:tcW w:w="3118"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t>120</w:t>
            </w:r>
          </w:p>
        </w:tc>
        <w:tc>
          <w:tcPr>
            <w:tcW w:w="1559" w:type="dxa"/>
            <w:vAlign w:val="center"/>
          </w:tcPr>
          <w:p w:rsidR="002B6607" w:rsidRDefault="002B6607" w:rsidP="0098663C">
            <w:pPr>
              <w:jc w:val="center"/>
              <w:rPr>
                <w:rFonts w:ascii="Times New Roman" w:hAnsi="Times New Roman" w:cs="Times New Roman"/>
                <w:sz w:val="20"/>
                <w:szCs w:val="20"/>
                <w:lang w:val="en-US"/>
              </w:rPr>
            </w:pPr>
            <w:r>
              <w:rPr>
                <w:rFonts w:ascii="Times New Roman" w:hAnsi="Times New Roman" w:cs="Times New Roman"/>
                <w:sz w:val="20"/>
                <w:szCs w:val="20"/>
                <w:lang w:val="en-US"/>
              </w:rPr>
              <w:fldChar w:fldCharType="begin" w:fldLock="1"/>
            </w:r>
            <w:r>
              <w:rPr>
                <w:rFonts w:ascii="Times New Roman" w:hAnsi="Times New Roman" w:cs="Times New Roman"/>
                <w:sz w:val="20"/>
                <w:szCs w:val="20"/>
                <w:lang w:val="en-US"/>
              </w:rPr>
              <w:instrText>ADDIN CSL_CITATION { "citationItems" : [ { "id" : "ITEM-1", "itemData" : { "DOI" : "10.1039/c6nr08209b", "ISSN" : "20403372", "PMID" : "28084482", "abstract" : "Dimer- and trimer-origami frames are bridged by duplexes that include caged, sequence-specific, anti-ATP and/or anti-cocaine aptamer sequences. The programmed dissociation of the origami dimers or trimers in the presence of ATP and/or cocaine ligands is demonstrated. The processes are followed by AFM imaging and by electrophoretic experiments.", "author" : [ { "dropping-particle" : "", "family" : "Wu", "given" : "Na", "non-dropping-particle" : "", "parse-names" : false, "suffix" : "" }, { "dropping-particle" : "", "family" : "Willner", "given" : "Itamar", "non-dropping-particle" : "", "parse-names" : false, "suffix" : "" } ], "container-title" : "Nanoscale", "id" : "ITEM-1", "issue" : "4", "issued" : { "date-parts" : [ [ "2017" ] ] }, "page" : "1416-1422", "title" : "Programmed dissociation of dimer and trimer origami structures by aptamer-ligand complexes", "type" : "article-journal", "volume" : "9" }, "uris" : [ "http://www.mendeley.com/documents/?uuid=b57c4c76-b115-4245-a08f-57d76fa7e2c1" ] } ], "mendeley" : { "formattedCitation" : "[44]", "plainTextFormattedCitation" : "[44]", "previouslyFormattedCitation" : "[44]" }, "properties" : { "noteIndex" : 0 }, "schema" : "https://github.com/citation-style-language/schema/raw/master/csl-citation.json" }</w:instrText>
            </w:r>
            <w:r>
              <w:rPr>
                <w:rFonts w:ascii="Times New Roman" w:hAnsi="Times New Roman" w:cs="Times New Roman"/>
                <w:sz w:val="20"/>
                <w:szCs w:val="20"/>
                <w:lang w:val="en-US"/>
              </w:rPr>
              <w:fldChar w:fldCharType="separate"/>
            </w:r>
            <w:r w:rsidRPr="000F2B1C">
              <w:rPr>
                <w:rFonts w:ascii="Times New Roman" w:hAnsi="Times New Roman" w:cs="Times New Roman"/>
                <w:noProof/>
                <w:sz w:val="20"/>
                <w:szCs w:val="20"/>
                <w:lang w:val="en-US"/>
              </w:rPr>
              <w:t>[44]</w:t>
            </w:r>
            <w:r>
              <w:rPr>
                <w:rFonts w:ascii="Times New Roman" w:hAnsi="Times New Roman" w:cs="Times New Roman"/>
                <w:sz w:val="20"/>
                <w:szCs w:val="20"/>
                <w:lang w:val="en-US"/>
              </w:rPr>
              <w:fldChar w:fldCharType="end"/>
            </w:r>
          </w:p>
        </w:tc>
      </w:tr>
    </w:tbl>
    <w:p w:rsidR="002B6607" w:rsidRPr="002B6607" w:rsidRDefault="002B6607">
      <w:pPr>
        <w:pStyle w:val="a4"/>
        <w:ind w:left="640" w:hanging="640"/>
        <w:divId w:val="564265835"/>
        <w:rPr>
          <w:rFonts w:ascii="Palatino" w:hAnsi="Palatino"/>
          <w:b/>
          <w:lang w:val="en-US"/>
        </w:rPr>
      </w:pPr>
      <w:r w:rsidRPr="002B6607">
        <w:rPr>
          <w:rFonts w:ascii="Palatino" w:hAnsi="Palatino"/>
          <w:b/>
          <w:lang w:val="en-US"/>
        </w:rPr>
        <w:t>References</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sz w:val="20"/>
          <w:szCs w:val="20"/>
          <w:lang w:val="en-US"/>
        </w:rPr>
        <w:fldChar w:fldCharType="begin" w:fldLock="1"/>
      </w:r>
      <w:r w:rsidRPr="002B6607">
        <w:rPr>
          <w:rFonts w:ascii="Palatino" w:hAnsi="Palatino"/>
          <w:sz w:val="20"/>
          <w:szCs w:val="20"/>
          <w:lang w:val="en-US"/>
        </w:rPr>
        <w:instrText xml:space="preserve">ADDIN Mendeley Bibliography CSL_BIBLIOGRAPHY </w:instrText>
      </w:r>
      <w:r w:rsidRPr="002B6607">
        <w:rPr>
          <w:rFonts w:ascii="Palatino" w:hAnsi="Palatino"/>
          <w:sz w:val="20"/>
          <w:szCs w:val="20"/>
          <w:lang w:val="en-US"/>
        </w:rPr>
        <w:fldChar w:fldCharType="separate"/>
      </w:r>
      <w:r w:rsidRPr="002B6607">
        <w:rPr>
          <w:rFonts w:ascii="Palatino" w:hAnsi="Palatino"/>
          <w:noProof/>
          <w:sz w:val="20"/>
          <w:szCs w:val="20"/>
        </w:rPr>
        <w:t xml:space="preserve">1. </w:t>
      </w:r>
      <w:r w:rsidRPr="002B6607">
        <w:rPr>
          <w:rFonts w:ascii="Palatino" w:hAnsi="Palatino"/>
          <w:noProof/>
          <w:sz w:val="20"/>
          <w:szCs w:val="20"/>
        </w:rPr>
        <w:tab/>
        <w:t xml:space="preserve">Yoshida, W.; Yokobayashi, Y. Photonic boolean logic gates based on DNA aptamers.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2007</w:t>
      </w:r>
      <w:r w:rsidRPr="002B6607">
        <w:rPr>
          <w:rFonts w:ascii="Palatino" w:hAnsi="Palatino"/>
          <w:noProof/>
          <w:sz w:val="20"/>
          <w:szCs w:val="20"/>
        </w:rPr>
        <w:t>, 195–197.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lastRenderedPageBreak/>
        <w:t xml:space="preserve">2. </w:t>
      </w:r>
      <w:r w:rsidRPr="002B6607">
        <w:rPr>
          <w:rFonts w:ascii="Palatino" w:hAnsi="Palatino"/>
          <w:noProof/>
          <w:sz w:val="20"/>
          <w:szCs w:val="20"/>
        </w:rPr>
        <w:tab/>
        <w:t xml:space="preserve">Xiao, S.J.; Hu, P.P.; Chen, L.Q.; Zhen, S.J.; Peng, L.; Li, Y.F.; Huang, C.Z. A Visual Dual-Aptamer Logic Gate for Sensitive Discrimination of Prion Diseases-Associated Isoform with Reusable Magnetic Microparticles and Fluorescence Quantum Dots. </w:t>
      </w:r>
      <w:r w:rsidRPr="002B6607">
        <w:rPr>
          <w:rFonts w:ascii="Palatino" w:hAnsi="Palatino"/>
          <w:i/>
          <w:iCs/>
          <w:noProof/>
          <w:sz w:val="20"/>
          <w:szCs w:val="20"/>
        </w:rPr>
        <w:t>PLoS One</w:t>
      </w:r>
      <w:r w:rsidRPr="002B6607">
        <w:rPr>
          <w:rFonts w:ascii="Palatino" w:hAnsi="Palatino"/>
          <w:noProof/>
          <w:sz w:val="20"/>
          <w:szCs w:val="20"/>
        </w:rPr>
        <w:t xml:space="preserve"> </w:t>
      </w:r>
      <w:r w:rsidRPr="002B6607">
        <w:rPr>
          <w:rFonts w:ascii="Palatino" w:hAnsi="Palatino"/>
          <w:b/>
          <w:bCs/>
          <w:noProof/>
          <w:sz w:val="20"/>
          <w:szCs w:val="20"/>
        </w:rPr>
        <w:t>2013</w:t>
      </w:r>
      <w:r w:rsidRPr="002B6607">
        <w:rPr>
          <w:rFonts w:ascii="Palatino" w:hAnsi="Palatino"/>
          <w:noProof/>
          <w:sz w:val="20"/>
          <w:szCs w:val="20"/>
        </w:rPr>
        <w:t xml:space="preserve">, </w:t>
      </w:r>
      <w:r w:rsidRPr="002B6607">
        <w:rPr>
          <w:rFonts w:ascii="Palatino" w:hAnsi="Palatino"/>
          <w:i/>
          <w:iCs/>
          <w:noProof/>
          <w:sz w:val="20"/>
          <w:szCs w:val="20"/>
        </w:rPr>
        <w:t>8</w:t>
      </w:r>
      <w:r w:rsidRPr="002B6607">
        <w:rPr>
          <w:rFonts w:ascii="Palatino" w:hAnsi="Palatino"/>
          <w:noProof/>
          <w:sz w:val="20"/>
          <w:szCs w:val="20"/>
        </w:rPr>
        <w:t>.</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 </w:t>
      </w:r>
      <w:r w:rsidRPr="002B6607">
        <w:rPr>
          <w:rFonts w:ascii="Palatino" w:hAnsi="Palatino"/>
          <w:noProof/>
          <w:sz w:val="20"/>
          <w:szCs w:val="20"/>
        </w:rPr>
        <w:tab/>
        <w:t xml:space="preserve">Wang, G.; Zhu, Y.; Chen, L.; Zhang, X. Photoinduced electron transfer (PET) based label-free aptasensor for platelet-derived growth factor-BB and its logic gate application. </w:t>
      </w:r>
      <w:r w:rsidRPr="002B6607">
        <w:rPr>
          <w:rFonts w:ascii="Palatino" w:hAnsi="Palatino"/>
          <w:i/>
          <w:iCs/>
          <w:noProof/>
          <w:sz w:val="20"/>
          <w:szCs w:val="20"/>
        </w:rPr>
        <w:t>Biosens. Bioelectron.</w:t>
      </w:r>
      <w:r w:rsidRPr="002B6607">
        <w:rPr>
          <w:rFonts w:ascii="Palatino" w:hAnsi="Palatino"/>
          <w:noProof/>
          <w:sz w:val="20"/>
          <w:szCs w:val="20"/>
        </w:rPr>
        <w:t xml:space="preserve"> </w:t>
      </w:r>
      <w:r w:rsidRPr="002B6607">
        <w:rPr>
          <w:rFonts w:ascii="Palatino" w:hAnsi="Palatino"/>
          <w:b/>
          <w:bCs/>
          <w:noProof/>
          <w:sz w:val="20"/>
          <w:szCs w:val="20"/>
        </w:rPr>
        <w:t>2015</w:t>
      </w:r>
      <w:r w:rsidRPr="002B6607">
        <w:rPr>
          <w:rFonts w:ascii="Palatino" w:hAnsi="Palatino"/>
          <w:noProof/>
          <w:sz w:val="20"/>
          <w:szCs w:val="20"/>
        </w:rPr>
        <w:t xml:space="preserve">, </w:t>
      </w:r>
      <w:r w:rsidRPr="002B6607">
        <w:rPr>
          <w:rFonts w:ascii="Palatino" w:hAnsi="Palatino"/>
          <w:i/>
          <w:iCs/>
          <w:noProof/>
          <w:sz w:val="20"/>
          <w:szCs w:val="20"/>
        </w:rPr>
        <w:t>63</w:t>
      </w:r>
      <w:r w:rsidRPr="002B6607">
        <w:rPr>
          <w:rFonts w:ascii="Palatino" w:hAnsi="Palatino"/>
          <w:noProof/>
          <w:sz w:val="20"/>
          <w:szCs w:val="20"/>
        </w:rPr>
        <w:t>, 552–557.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4. </w:t>
      </w:r>
      <w:r w:rsidRPr="002B6607">
        <w:rPr>
          <w:rFonts w:ascii="Palatino" w:hAnsi="Palatino"/>
          <w:noProof/>
          <w:sz w:val="20"/>
          <w:szCs w:val="20"/>
        </w:rPr>
        <w:tab/>
        <w:t xml:space="preserve">Liao, W.C.; Sohn, Y.S.; Riutin, M.; Cecconello, A.; Parak, W.J.; Nechushtai, R.; Willner, I. The Application of Stimuli-Responsive VEGF- and ATP-Aptamer-Based Microcapsules for the Controlled Release of an Anticancer Drug, and the Selective Targeted Cytotoxicity toward Cancer Cells. </w:t>
      </w:r>
      <w:r w:rsidRPr="002B6607">
        <w:rPr>
          <w:rFonts w:ascii="Palatino" w:hAnsi="Palatino"/>
          <w:i/>
          <w:iCs/>
          <w:noProof/>
          <w:sz w:val="20"/>
          <w:szCs w:val="20"/>
        </w:rPr>
        <w:t>Adv. Funct. Mater.</w:t>
      </w:r>
      <w:r w:rsidRPr="002B6607">
        <w:rPr>
          <w:rFonts w:ascii="Palatino" w:hAnsi="Palatino"/>
          <w:noProof/>
          <w:sz w:val="20"/>
          <w:szCs w:val="20"/>
        </w:rPr>
        <w:t xml:space="preserve"> </w:t>
      </w:r>
      <w:r w:rsidRPr="002B6607">
        <w:rPr>
          <w:rFonts w:ascii="Palatino" w:hAnsi="Palatino"/>
          <w:b/>
          <w:bCs/>
          <w:noProof/>
          <w:sz w:val="20"/>
          <w:szCs w:val="20"/>
        </w:rPr>
        <w:t>2016</w:t>
      </w:r>
      <w:r w:rsidRPr="002B6607">
        <w:rPr>
          <w:rFonts w:ascii="Palatino" w:hAnsi="Palatino"/>
          <w:noProof/>
          <w:sz w:val="20"/>
          <w:szCs w:val="20"/>
        </w:rPr>
        <w:t xml:space="preserve">, </w:t>
      </w:r>
      <w:r w:rsidRPr="002B6607">
        <w:rPr>
          <w:rFonts w:ascii="Palatino" w:hAnsi="Palatino"/>
          <w:i/>
          <w:iCs/>
          <w:noProof/>
          <w:sz w:val="20"/>
          <w:szCs w:val="20"/>
        </w:rPr>
        <w:t>26</w:t>
      </w:r>
      <w:r w:rsidRPr="002B6607">
        <w:rPr>
          <w:rFonts w:ascii="Palatino" w:hAnsi="Palatino"/>
          <w:noProof/>
          <w:sz w:val="20"/>
          <w:szCs w:val="20"/>
        </w:rPr>
        <w:t>, 4262–4273.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5. </w:t>
      </w:r>
      <w:r w:rsidRPr="002B6607">
        <w:rPr>
          <w:rFonts w:ascii="Palatino" w:hAnsi="Palatino"/>
          <w:noProof/>
          <w:sz w:val="20"/>
          <w:szCs w:val="20"/>
        </w:rPr>
        <w:tab/>
        <w:t xml:space="preserve">Shlyahovsky, B.; Li, Y.; Lioubashevski, O.; Elbaz, J.; Willner, I. Logic gates and antisense DNA devices operating on a translator nucleic acid scaffold. </w:t>
      </w:r>
      <w:r w:rsidRPr="002B6607">
        <w:rPr>
          <w:rFonts w:ascii="Palatino" w:hAnsi="Palatino"/>
          <w:i/>
          <w:iCs/>
          <w:noProof/>
          <w:sz w:val="20"/>
          <w:szCs w:val="20"/>
        </w:rPr>
        <w:t>ACS Nano</w:t>
      </w:r>
      <w:r w:rsidRPr="002B6607">
        <w:rPr>
          <w:rFonts w:ascii="Palatino" w:hAnsi="Palatino"/>
          <w:noProof/>
          <w:sz w:val="20"/>
          <w:szCs w:val="20"/>
        </w:rPr>
        <w:t xml:space="preserve"> </w:t>
      </w:r>
      <w:r w:rsidRPr="002B6607">
        <w:rPr>
          <w:rFonts w:ascii="Palatino" w:hAnsi="Palatino"/>
          <w:b/>
          <w:bCs/>
          <w:noProof/>
          <w:sz w:val="20"/>
          <w:szCs w:val="20"/>
        </w:rPr>
        <w:t>2009</w:t>
      </w:r>
      <w:r w:rsidRPr="002B6607">
        <w:rPr>
          <w:rFonts w:ascii="Palatino" w:hAnsi="Palatino"/>
          <w:noProof/>
          <w:sz w:val="20"/>
          <w:szCs w:val="20"/>
        </w:rPr>
        <w:t xml:space="preserve">, </w:t>
      </w:r>
      <w:r w:rsidRPr="002B6607">
        <w:rPr>
          <w:rFonts w:ascii="Palatino" w:hAnsi="Palatino"/>
          <w:i/>
          <w:iCs/>
          <w:noProof/>
          <w:sz w:val="20"/>
          <w:szCs w:val="20"/>
        </w:rPr>
        <w:t>3</w:t>
      </w:r>
      <w:r w:rsidRPr="002B6607">
        <w:rPr>
          <w:rFonts w:ascii="Palatino" w:hAnsi="Palatino"/>
          <w:noProof/>
          <w:sz w:val="20"/>
          <w:szCs w:val="20"/>
        </w:rPr>
        <w:t>, 1831–1843.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6. </w:t>
      </w:r>
      <w:r w:rsidRPr="002B6607">
        <w:rPr>
          <w:rFonts w:ascii="Palatino" w:hAnsi="Palatino"/>
          <w:noProof/>
          <w:sz w:val="20"/>
          <w:szCs w:val="20"/>
        </w:rPr>
        <w:tab/>
        <w:t xml:space="preserve">Elbaz, J.; Shlyahovsky, B.; Li, D.; Willner, I. Parallel analysis of two analytes in solutions or on surfaces by using a bifunctional aptamer: Applications for biosensing and logic gate operations. </w:t>
      </w:r>
      <w:r w:rsidRPr="002B6607">
        <w:rPr>
          <w:rFonts w:ascii="Palatino" w:hAnsi="Palatino"/>
          <w:i/>
          <w:iCs/>
          <w:noProof/>
          <w:sz w:val="20"/>
          <w:szCs w:val="20"/>
        </w:rPr>
        <w:t>ChemBioChem</w:t>
      </w:r>
      <w:r w:rsidRPr="002B6607">
        <w:rPr>
          <w:rFonts w:ascii="Palatino" w:hAnsi="Palatino"/>
          <w:noProof/>
          <w:sz w:val="20"/>
          <w:szCs w:val="20"/>
        </w:rPr>
        <w:t xml:space="preserve"> </w:t>
      </w:r>
      <w:r w:rsidRPr="002B6607">
        <w:rPr>
          <w:rFonts w:ascii="Palatino" w:hAnsi="Palatino"/>
          <w:b/>
          <w:bCs/>
          <w:noProof/>
          <w:sz w:val="20"/>
          <w:szCs w:val="20"/>
        </w:rPr>
        <w:t>2008</w:t>
      </w:r>
      <w:r w:rsidRPr="002B6607">
        <w:rPr>
          <w:rFonts w:ascii="Palatino" w:hAnsi="Palatino"/>
          <w:noProof/>
          <w:sz w:val="20"/>
          <w:szCs w:val="20"/>
        </w:rPr>
        <w:t xml:space="preserve">, </w:t>
      </w:r>
      <w:r w:rsidRPr="002B6607">
        <w:rPr>
          <w:rFonts w:ascii="Palatino" w:hAnsi="Palatino"/>
          <w:i/>
          <w:iCs/>
          <w:noProof/>
          <w:sz w:val="20"/>
          <w:szCs w:val="20"/>
        </w:rPr>
        <w:t>9</w:t>
      </w:r>
      <w:r w:rsidRPr="002B6607">
        <w:rPr>
          <w:rFonts w:ascii="Palatino" w:hAnsi="Palatino"/>
          <w:noProof/>
          <w:sz w:val="20"/>
          <w:szCs w:val="20"/>
        </w:rPr>
        <w:t>, 232–239.</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7. </w:t>
      </w:r>
      <w:r w:rsidRPr="002B6607">
        <w:rPr>
          <w:rFonts w:ascii="Palatino" w:hAnsi="Palatino"/>
          <w:noProof/>
          <w:sz w:val="20"/>
          <w:szCs w:val="20"/>
        </w:rPr>
        <w:tab/>
        <w:t xml:space="preserve">Ogawa, A.; Susaki, Y. Multiple-input and visible-output logic gates using signal-converting DNA machines and gold nanoparticle aggregation. </w:t>
      </w:r>
      <w:r w:rsidRPr="002B6607">
        <w:rPr>
          <w:rFonts w:ascii="Palatino" w:hAnsi="Palatino"/>
          <w:i/>
          <w:iCs/>
          <w:noProof/>
          <w:sz w:val="20"/>
          <w:szCs w:val="20"/>
        </w:rPr>
        <w:t>Org. Biomol. Chem.</w:t>
      </w:r>
      <w:r w:rsidRPr="002B6607">
        <w:rPr>
          <w:rFonts w:ascii="Palatino" w:hAnsi="Palatino"/>
          <w:noProof/>
          <w:sz w:val="20"/>
          <w:szCs w:val="20"/>
        </w:rPr>
        <w:t xml:space="preserve"> </w:t>
      </w:r>
      <w:r w:rsidRPr="002B6607">
        <w:rPr>
          <w:rFonts w:ascii="Palatino" w:hAnsi="Palatino"/>
          <w:b/>
          <w:bCs/>
          <w:noProof/>
          <w:sz w:val="20"/>
          <w:szCs w:val="20"/>
        </w:rPr>
        <w:t>2013</w:t>
      </w:r>
      <w:r w:rsidRPr="002B6607">
        <w:rPr>
          <w:rFonts w:ascii="Palatino" w:hAnsi="Palatino"/>
          <w:noProof/>
          <w:sz w:val="20"/>
          <w:szCs w:val="20"/>
        </w:rPr>
        <w:t xml:space="preserve">, </w:t>
      </w:r>
      <w:r w:rsidRPr="002B6607">
        <w:rPr>
          <w:rFonts w:ascii="Palatino" w:hAnsi="Palatino"/>
          <w:i/>
          <w:iCs/>
          <w:noProof/>
          <w:sz w:val="20"/>
          <w:szCs w:val="20"/>
        </w:rPr>
        <w:t>11</w:t>
      </w:r>
      <w:r w:rsidRPr="002B6607">
        <w:rPr>
          <w:rFonts w:ascii="Palatino" w:hAnsi="Palatino"/>
          <w:noProof/>
          <w:sz w:val="20"/>
          <w:szCs w:val="20"/>
        </w:rPr>
        <w:t>, 3272–3276.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8. </w:t>
      </w:r>
      <w:r w:rsidRPr="002B6607">
        <w:rPr>
          <w:rFonts w:ascii="Palatino" w:hAnsi="Palatino"/>
          <w:noProof/>
          <w:sz w:val="20"/>
          <w:szCs w:val="20"/>
        </w:rPr>
        <w:tab/>
        <w:t xml:space="preserve">Liu, J.; Ji, H.; Huang, J.; Li, L.; Wang, Q.; Yang, X.; Wang, K. Intelligent Nucleic Acid Functionalized Dual-Responsive Gold Nanoflare: Logic-Gate Nanodevice Visualized by Single-Nanoparticle Imaging. </w:t>
      </w:r>
      <w:r w:rsidRPr="002B6607">
        <w:rPr>
          <w:rFonts w:ascii="Palatino" w:hAnsi="Palatino"/>
          <w:i/>
          <w:iCs/>
          <w:noProof/>
          <w:sz w:val="20"/>
          <w:szCs w:val="20"/>
        </w:rPr>
        <w:t>ChemistrySelect</w:t>
      </w:r>
      <w:r w:rsidRPr="002B6607">
        <w:rPr>
          <w:rFonts w:ascii="Palatino" w:hAnsi="Palatino"/>
          <w:noProof/>
          <w:sz w:val="20"/>
          <w:szCs w:val="20"/>
        </w:rPr>
        <w:t xml:space="preserve"> </w:t>
      </w:r>
      <w:r w:rsidRPr="002B6607">
        <w:rPr>
          <w:rFonts w:ascii="Palatino" w:hAnsi="Palatino"/>
          <w:b/>
          <w:bCs/>
          <w:noProof/>
          <w:sz w:val="20"/>
          <w:szCs w:val="20"/>
        </w:rPr>
        <w:t>2016</w:t>
      </w:r>
      <w:r w:rsidRPr="002B6607">
        <w:rPr>
          <w:rFonts w:ascii="Palatino" w:hAnsi="Palatino"/>
          <w:noProof/>
          <w:sz w:val="20"/>
          <w:szCs w:val="20"/>
        </w:rPr>
        <w:t xml:space="preserve">, </w:t>
      </w:r>
      <w:r w:rsidRPr="002B6607">
        <w:rPr>
          <w:rFonts w:ascii="Palatino" w:hAnsi="Palatino"/>
          <w:i/>
          <w:iCs/>
          <w:noProof/>
          <w:sz w:val="20"/>
          <w:szCs w:val="20"/>
        </w:rPr>
        <w:t>1</w:t>
      </w:r>
      <w:r w:rsidRPr="002B6607">
        <w:rPr>
          <w:rFonts w:ascii="Palatino" w:hAnsi="Palatino"/>
          <w:noProof/>
          <w:sz w:val="20"/>
          <w:szCs w:val="20"/>
        </w:rPr>
        <w:t>, 347–353.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9. </w:t>
      </w:r>
      <w:r w:rsidRPr="002B6607">
        <w:rPr>
          <w:rFonts w:ascii="Palatino" w:hAnsi="Palatino"/>
          <w:noProof/>
          <w:sz w:val="20"/>
          <w:szCs w:val="20"/>
        </w:rPr>
        <w:tab/>
        <w:t xml:space="preserve">Liu, J.; Lu, Y. Smart nanomaterials responsive to multiple chemical stimuli with controllable cooperativity. </w:t>
      </w:r>
      <w:r w:rsidRPr="002B6607">
        <w:rPr>
          <w:rFonts w:ascii="Palatino" w:hAnsi="Palatino"/>
          <w:i/>
          <w:iCs/>
          <w:noProof/>
          <w:sz w:val="20"/>
          <w:szCs w:val="20"/>
        </w:rPr>
        <w:t>Adv. Mater.</w:t>
      </w:r>
      <w:r w:rsidRPr="002B6607">
        <w:rPr>
          <w:rFonts w:ascii="Palatino" w:hAnsi="Palatino"/>
          <w:noProof/>
          <w:sz w:val="20"/>
          <w:szCs w:val="20"/>
        </w:rPr>
        <w:t xml:space="preserve"> </w:t>
      </w:r>
      <w:r w:rsidRPr="002B6607">
        <w:rPr>
          <w:rFonts w:ascii="Palatino" w:hAnsi="Palatino"/>
          <w:b/>
          <w:bCs/>
          <w:noProof/>
          <w:sz w:val="20"/>
          <w:szCs w:val="20"/>
        </w:rPr>
        <w:t>2006</w:t>
      </w:r>
      <w:r w:rsidRPr="002B6607">
        <w:rPr>
          <w:rFonts w:ascii="Palatino" w:hAnsi="Palatino"/>
          <w:noProof/>
          <w:sz w:val="20"/>
          <w:szCs w:val="20"/>
        </w:rPr>
        <w:t xml:space="preserve">, </w:t>
      </w:r>
      <w:r w:rsidRPr="002B6607">
        <w:rPr>
          <w:rFonts w:ascii="Palatino" w:hAnsi="Palatino"/>
          <w:i/>
          <w:iCs/>
          <w:noProof/>
          <w:sz w:val="20"/>
          <w:szCs w:val="20"/>
        </w:rPr>
        <w:t>18</w:t>
      </w:r>
      <w:r w:rsidRPr="002B6607">
        <w:rPr>
          <w:rFonts w:ascii="Palatino" w:hAnsi="Palatino"/>
          <w:noProof/>
          <w:sz w:val="20"/>
          <w:szCs w:val="20"/>
        </w:rPr>
        <w:t>, 1667–1671.</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10. </w:t>
      </w:r>
      <w:r w:rsidRPr="002B6607">
        <w:rPr>
          <w:rFonts w:ascii="Palatino" w:hAnsi="Palatino"/>
          <w:noProof/>
          <w:sz w:val="20"/>
          <w:szCs w:val="20"/>
        </w:rPr>
        <w:tab/>
        <w:t xml:space="preserve">Shukoor, M.I.; Altman, M.O.; Han, D.; Bayrac, A.T.; Ocsoy, I.; Zhu, Z.; Tan, W. Aptamer-nanoparticle assembly for logic-based detection. </w:t>
      </w:r>
      <w:r w:rsidRPr="002B6607">
        <w:rPr>
          <w:rFonts w:ascii="Palatino" w:hAnsi="Palatino"/>
          <w:i/>
          <w:iCs/>
          <w:noProof/>
          <w:sz w:val="20"/>
          <w:szCs w:val="20"/>
        </w:rPr>
        <w:t>ACS Appl. Mater. Interfaces</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4</w:t>
      </w:r>
      <w:r w:rsidRPr="002B6607">
        <w:rPr>
          <w:rFonts w:ascii="Palatino" w:hAnsi="Palatino"/>
          <w:noProof/>
          <w:sz w:val="20"/>
          <w:szCs w:val="20"/>
        </w:rPr>
        <w:t>, 3007–3011.</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11. </w:t>
      </w:r>
      <w:r w:rsidRPr="002B6607">
        <w:rPr>
          <w:rFonts w:ascii="Palatino" w:hAnsi="Palatino"/>
          <w:noProof/>
          <w:sz w:val="20"/>
          <w:szCs w:val="20"/>
        </w:rPr>
        <w:tab/>
        <w:t xml:space="preserve">Yang, B.; Zhang, X.B.; Kang, L.P.; Huang, Z.M.; Shen, G.L.; Yu, R.Q.; Tan, W. Intelligent layered nanoflare: “Lab-on-a-nanoparticle” for multiple DNA logic gate operations and efficient intracellular delivery. </w:t>
      </w:r>
      <w:r w:rsidRPr="002B6607">
        <w:rPr>
          <w:rFonts w:ascii="Palatino" w:hAnsi="Palatino"/>
          <w:i/>
          <w:iCs/>
          <w:noProof/>
          <w:sz w:val="20"/>
          <w:szCs w:val="20"/>
        </w:rPr>
        <w:t>Nanoscale</w:t>
      </w:r>
      <w:r w:rsidRPr="002B6607">
        <w:rPr>
          <w:rFonts w:ascii="Palatino" w:hAnsi="Palatino"/>
          <w:noProof/>
          <w:sz w:val="20"/>
          <w:szCs w:val="20"/>
        </w:rPr>
        <w:t xml:space="preserve"> </w:t>
      </w:r>
      <w:r w:rsidRPr="002B6607">
        <w:rPr>
          <w:rFonts w:ascii="Palatino" w:hAnsi="Palatino"/>
          <w:b/>
          <w:bCs/>
          <w:noProof/>
          <w:sz w:val="20"/>
          <w:szCs w:val="20"/>
        </w:rPr>
        <w:t>2014</w:t>
      </w:r>
      <w:r w:rsidRPr="002B6607">
        <w:rPr>
          <w:rFonts w:ascii="Palatino" w:hAnsi="Palatino"/>
          <w:noProof/>
          <w:sz w:val="20"/>
          <w:szCs w:val="20"/>
        </w:rPr>
        <w:t xml:space="preserve">, </w:t>
      </w:r>
      <w:r w:rsidRPr="002B6607">
        <w:rPr>
          <w:rFonts w:ascii="Palatino" w:hAnsi="Palatino"/>
          <w:i/>
          <w:iCs/>
          <w:noProof/>
          <w:sz w:val="20"/>
          <w:szCs w:val="20"/>
        </w:rPr>
        <w:t>6</w:t>
      </w:r>
      <w:r w:rsidRPr="002B6607">
        <w:rPr>
          <w:rFonts w:ascii="Palatino" w:hAnsi="Palatino"/>
          <w:noProof/>
          <w:sz w:val="20"/>
          <w:szCs w:val="20"/>
        </w:rPr>
        <w:t>, 8990–8996.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12. </w:t>
      </w:r>
      <w:r w:rsidRPr="002B6607">
        <w:rPr>
          <w:rFonts w:ascii="Palatino" w:hAnsi="Palatino"/>
          <w:noProof/>
          <w:sz w:val="20"/>
          <w:szCs w:val="20"/>
        </w:rPr>
        <w:tab/>
        <w:t xml:space="preserve">Chen, J.; Fang, Z.; Lie, P.; Zeng, L. Computational lateral flow biosensor for proteins and small molecules: A new class of strip logic gates. </w:t>
      </w:r>
      <w:r w:rsidRPr="002B6607">
        <w:rPr>
          <w:rFonts w:ascii="Palatino" w:hAnsi="Palatino"/>
          <w:i/>
          <w:iCs/>
          <w:noProof/>
          <w:sz w:val="20"/>
          <w:szCs w:val="20"/>
        </w:rPr>
        <w:t>Anal. Chem.</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84</w:t>
      </w:r>
      <w:r w:rsidRPr="002B6607">
        <w:rPr>
          <w:rFonts w:ascii="Palatino" w:hAnsi="Palatino"/>
          <w:noProof/>
          <w:sz w:val="20"/>
          <w:szCs w:val="20"/>
        </w:rPr>
        <w:t>, 6321–6325.</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13. </w:t>
      </w:r>
      <w:r w:rsidRPr="002B6607">
        <w:rPr>
          <w:rFonts w:ascii="Palatino" w:hAnsi="Palatino"/>
          <w:noProof/>
          <w:sz w:val="20"/>
          <w:szCs w:val="20"/>
        </w:rPr>
        <w:tab/>
        <w:t xml:space="preserve">Huang, Y.; Wen, W.; Du, D.; Zhang, X.; Wang, S.; Lin, Y. A universal lateral flow biosensor for proteins and DNAs based on the conformational change of hairpin oligonucleotide and its use for logic gate operations. </w:t>
      </w:r>
      <w:r w:rsidRPr="002B6607">
        <w:rPr>
          <w:rFonts w:ascii="Palatino" w:hAnsi="Palatino"/>
          <w:i/>
          <w:iCs/>
          <w:noProof/>
          <w:sz w:val="20"/>
          <w:szCs w:val="20"/>
        </w:rPr>
        <w:t>Biosens. Bioelectron.</w:t>
      </w:r>
      <w:r w:rsidRPr="002B6607">
        <w:rPr>
          <w:rFonts w:ascii="Palatino" w:hAnsi="Palatino"/>
          <w:noProof/>
          <w:sz w:val="20"/>
          <w:szCs w:val="20"/>
        </w:rPr>
        <w:t xml:space="preserve"> </w:t>
      </w:r>
      <w:r w:rsidRPr="002B6607">
        <w:rPr>
          <w:rFonts w:ascii="Palatino" w:hAnsi="Palatino"/>
          <w:b/>
          <w:bCs/>
          <w:noProof/>
          <w:sz w:val="20"/>
          <w:szCs w:val="20"/>
        </w:rPr>
        <w:t>2014</w:t>
      </w:r>
      <w:r w:rsidRPr="002B6607">
        <w:rPr>
          <w:rFonts w:ascii="Palatino" w:hAnsi="Palatino"/>
          <w:noProof/>
          <w:sz w:val="20"/>
          <w:szCs w:val="20"/>
        </w:rPr>
        <w:t xml:space="preserve">, </w:t>
      </w:r>
      <w:r w:rsidRPr="002B6607">
        <w:rPr>
          <w:rFonts w:ascii="Palatino" w:hAnsi="Palatino"/>
          <w:i/>
          <w:iCs/>
          <w:noProof/>
          <w:sz w:val="20"/>
          <w:szCs w:val="20"/>
        </w:rPr>
        <w:t>61</w:t>
      </w:r>
      <w:r w:rsidRPr="002B6607">
        <w:rPr>
          <w:rFonts w:ascii="Palatino" w:hAnsi="Palatino"/>
          <w:noProof/>
          <w:sz w:val="20"/>
          <w:szCs w:val="20"/>
        </w:rPr>
        <w:t>, 598–604.</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14. </w:t>
      </w:r>
      <w:r w:rsidRPr="002B6607">
        <w:rPr>
          <w:rFonts w:ascii="Palatino" w:hAnsi="Palatino"/>
          <w:noProof/>
          <w:sz w:val="20"/>
          <w:szCs w:val="20"/>
        </w:rPr>
        <w:tab/>
        <w:t xml:space="preserve">Qin, C.; Gao, Y.; Wen, W.; Zhang, X.; Wang, S. Visual multiple recognition of protein biomarkers based on an array of aptamer modified gold nanoparticles in biocomputing to strip biosensor logic operations. </w:t>
      </w:r>
      <w:r w:rsidRPr="002B6607">
        <w:rPr>
          <w:rFonts w:ascii="Palatino" w:hAnsi="Palatino"/>
          <w:i/>
          <w:iCs/>
          <w:noProof/>
          <w:sz w:val="20"/>
          <w:szCs w:val="20"/>
        </w:rPr>
        <w:t>Biosens. Bioelectron.</w:t>
      </w:r>
      <w:r w:rsidRPr="002B6607">
        <w:rPr>
          <w:rFonts w:ascii="Palatino" w:hAnsi="Palatino"/>
          <w:noProof/>
          <w:sz w:val="20"/>
          <w:szCs w:val="20"/>
        </w:rPr>
        <w:t xml:space="preserve"> </w:t>
      </w:r>
      <w:r w:rsidRPr="002B6607">
        <w:rPr>
          <w:rFonts w:ascii="Palatino" w:hAnsi="Palatino"/>
          <w:b/>
          <w:bCs/>
          <w:noProof/>
          <w:sz w:val="20"/>
          <w:szCs w:val="20"/>
        </w:rPr>
        <w:t>2016</w:t>
      </w:r>
      <w:r w:rsidRPr="002B6607">
        <w:rPr>
          <w:rFonts w:ascii="Palatino" w:hAnsi="Palatino"/>
          <w:noProof/>
          <w:sz w:val="20"/>
          <w:szCs w:val="20"/>
        </w:rPr>
        <w:t xml:space="preserve">, </w:t>
      </w:r>
      <w:r w:rsidRPr="002B6607">
        <w:rPr>
          <w:rFonts w:ascii="Palatino" w:hAnsi="Palatino"/>
          <w:i/>
          <w:iCs/>
          <w:noProof/>
          <w:sz w:val="20"/>
          <w:szCs w:val="20"/>
        </w:rPr>
        <w:t>79</w:t>
      </w:r>
      <w:r w:rsidRPr="002B6607">
        <w:rPr>
          <w:rFonts w:ascii="Palatino" w:hAnsi="Palatino"/>
          <w:noProof/>
          <w:sz w:val="20"/>
          <w:szCs w:val="20"/>
        </w:rPr>
        <w:t>, 522–530.</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lastRenderedPageBreak/>
        <w:t xml:space="preserve">15. </w:t>
      </w:r>
      <w:r w:rsidRPr="002B6607">
        <w:rPr>
          <w:rFonts w:ascii="Palatino" w:hAnsi="Palatino"/>
          <w:noProof/>
          <w:sz w:val="20"/>
          <w:szCs w:val="20"/>
        </w:rPr>
        <w:tab/>
        <w:t xml:space="preserve">Wen, Y.; Xu, L.; Li, C.; Du, H.; Chen, L.; Su, B.; Zhang, Z.; Zhang, X.; Song, Y. DNA-based intelligent logic controlled release systems.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48</w:t>
      </w:r>
      <w:r w:rsidRPr="002B6607">
        <w:rPr>
          <w:rFonts w:ascii="Palatino" w:hAnsi="Palatino"/>
          <w:noProof/>
          <w:sz w:val="20"/>
          <w:szCs w:val="20"/>
        </w:rPr>
        <w:t>, 8410–8412.</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16. </w:t>
      </w:r>
      <w:r w:rsidRPr="002B6607">
        <w:rPr>
          <w:rFonts w:ascii="Palatino" w:hAnsi="Palatino"/>
          <w:noProof/>
          <w:sz w:val="20"/>
          <w:szCs w:val="20"/>
        </w:rPr>
        <w:tab/>
        <w:t xml:space="preserve">Xu, X.; Zhang, J.; Yang, F.; Yang, X. Colorimetric logic gates for small molecules using split/integrated aptamers and unmodified gold nanoparticles.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2011</w:t>
      </w:r>
      <w:r w:rsidRPr="002B6607">
        <w:rPr>
          <w:rFonts w:ascii="Palatino" w:hAnsi="Palatino"/>
          <w:noProof/>
          <w:sz w:val="20"/>
          <w:szCs w:val="20"/>
        </w:rPr>
        <w:t xml:space="preserve">, </w:t>
      </w:r>
      <w:r w:rsidRPr="002B6607">
        <w:rPr>
          <w:rFonts w:ascii="Palatino" w:hAnsi="Palatino"/>
          <w:i/>
          <w:iCs/>
          <w:noProof/>
          <w:sz w:val="20"/>
          <w:szCs w:val="20"/>
        </w:rPr>
        <w:t>47</w:t>
      </w:r>
      <w:r w:rsidRPr="002B6607">
        <w:rPr>
          <w:rFonts w:ascii="Palatino" w:hAnsi="Palatino"/>
          <w:noProof/>
          <w:sz w:val="20"/>
          <w:szCs w:val="20"/>
        </w:rPr>
        <w:t>, 9435–9437.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17. </w:t>
      </w:r>
      <w:r w:rsidRPr="002B6607">
        <w:rPr>
          <w:rFonts w:ascii="Palatino" w:hAnsi="Palatino"/>
          <w:noProof/>
          <w:sz w:val="20"/>
          <w:szCs w:val="20"/>
        </w:rPr>
        <w:tab/>
        <w:t xml:space="preserve">Ragavan, K. V.; Selvakumar, L.S.; Thakur, M.S. Functionalized aptamers as nano-bioprobes for ultrasensitive detection of bisphenol-A.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2013</w:t>
      </w:r>
      <w:r w:rsidRPr="002B6607">
        <w:rPr>
          <w:rFonts w:ascii="Palatino" w:hAnsi="Palatino"/>
          <w:noProof/>
          <w:sz w:val="20"/>
          <w:szCs w:val="20"/>
        </w:rPr>
        <w:t xml:space="preserve">, </w:t>
      </w:r>
      <w:r w:rsidRPr="002B6607">
        <w:rPr>
          <w:rFonts w:ascii="Palatino" w:hAnsi="Palatino"/>
          <w:i/>
          <w:iCs/>
          <w:noProof/>
          <w:sz w:val="20"/>
          <w:szCs w:val="20"/>
        </w:rPr>
        <w:t>49</w:t>
      </w:r>
      <w:r w:rsidRPr="002B6607">
        <w:rPr>
          <w:rFonts w:ascii="Palatino" w:hAnsi="Palatino"/>
          <w:noProof/>
          <w:sz w:val="20"/>
          <w:szCs w:val="20"/>
        </w:rPr>
        <w:t>, 5960–5962.</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18. </w:t>
      </w:r>
      <w:r w:rsidRPr="002B6607">
        <w:rPr>
          <w:rFonts w:ascii="Palatino" w:hAnsi="Palatino"/>
          <w:noProof/>
          <w:sz w:val="20"/>
          <w:szCs w:val="20"/>
        </w:rPr>
        <w:tab/>
        <w:t xml:space="preserve">Ren, J.; Wang, J.; Wang, J.; Wang, E. Colorimetric enantiorecognition of oligopeptide and logic gate construction based on DNA aptamer-ligand-gold nanoparticle interactions. </w:t>
      </w:r>
      <w:r w:rsidRPr="002B6607">
        <w:rPr>
          <w:rFonts w:ascii="Palatino" w:hAnsi="Palatino"/>
          <w:i/>
          <w:iCs/>
          <w:noProof/>
          <w:sz w:val="20"/>
          <w:szCs w:val="20"/>
        </w:rPr>
        <w:t>Chem. - A Eur. J.</w:t>
      </w:r>
      <w:r w:rsidRPr="002B6607">
        <w:rPr>
          <w:rFonts w:ascii="Palatino" w:hAnsi="Palatino"/>
          <w:noProof/>
          <w:sz w:val="20"/>
          <w:szCs w:val="20"/>
        </w:rPr>
        <w:t xml:space="preserve"> </w:t>
      </w:r>
      <w:r w:rsidRPr="002B6607">
        <w:rPr>
          <w:rFonts w:ascii="Palatino" w:hAnsi="Palatino"/>
          <w:b/>
          <w:bCs/>
          <w:noProof/>
          <w:sz w:val="20"/>
          <w:szCs w:val="20"/>
        </w:rPr>
        <w:t>2013</w:t>
      </w:r>
      <w:r w:rsidRPr="002B6607">
        <w:rPr>
          <w:rFonts w:ascii="Palatino" w:hAnsi="Palatino"/>
          <w:noProof/>
          <w:sz w:val="20"/>
          <w:szCs w:val="20"/>
        </w:rPr>
        <w:t xml:space="preserve">, </w:t>
      </w:r>
      <w:r w:rsidRPr="002B6607">
        <w:rPr>
          <w:rFonts w:ascii="Palatino" w:hAnsi="Palatino"/>
          <w:i/>
          <w:iCs/>
          <w:noProof/>
          <w:sz w:val="20"/>
          <w:szCs w:val="20"/>
        </w:rPr>
        <w:t>19</w:t>
      </w:r>
      <w:r w:rsidRPr="002B6607">
        <w:rPr>
          <w:rFonts w:ascii="Palatino" w:hAnsi="Palatino"/>
          <w:noProof/>
          <w:sz w:val="20"/>
          <w:szCs w:val="20"/>
        </w:rPr>
        <w:t>, 479–483.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19. </w:t>
      </w:r>
      <w:r w:rsidRPr="002B6607">
        <w:rPr>
          <w:rFonts w:ascii="Palatino" w:hAnsi="Palatino"/>
          <w:noProof/>
          <w:sz w:val="20"/>
          <w:szCs w:val="20"/>
        </w:rPr>
        <w:tab/>
        <w:t xml:space="preserve">Yuan, H.; Huang, Y.; Yang, J.; Guo, Y.; Zeng, X.; Zhou, S.; Cheng, J.; Zhang, Y. An aptamer-based fluorescence bio-sensor for chiral recognition of arginine enantiomers. </w:t>
      </w:r>
      <w:r w:rsidRPr="002B6607">
        <w:rPr>
          <w:rFonts w:ascii="Palatino" w:hAnsi="Palatino"/>
          <w:i/>
          <w:iCs/>
          <w:noProof/>
          <w:sz w:val="20"/>
          <w:szCs w:val="20"/>
        </w:rPr>
        <w:t>Spectrochim. Acta - Part A Mol. Biomol. Spectrosc.</w:t>
      </w:r>
      <w:r w:rsidRPr="002B6607">
        <w:rPr>
          <w:rFonts w:ascii="Palatino" w:hAnsi="Palatino"/>
          <w:noProof/>
          <w:sz w:val="20"/>
          <w:szCs w:val="20"/>
        </w:rPr>
        <w:t xml:space="preserve"> </w:t>
      </w:r>
      <w:r w:rsidRPr="002B6607">
        <w:rPr>
          <w:rFonts w:ascii="Palatino" w:hAnsi="Palatino"/>
          <w:b/>
          <w:bCs/>
          <w:noProof/>
          <w:sz w:val="20"/>
          <w:szCs w:val="20"/>
        </w:rPr>
        <w:t>2018</w:t>
      </w:r>
      <w:r w:rsidRPr="002B6607">
        <w:rPr>
          <w:rFonts w:ascii="Palatino" w:hAnsi="Palatino"/>
          <w:noProof/>
          <w:sz w:val="20"/>
          <w:szCs w:val="20"/>
        </w:rPr>
        <w:t xml:space="preserve">, </w:t>
      </w:r>
      <w:r w:rsidRPr="002B6607">
        <w:rPr>
          <w:rFonts w:ascii="Palatino" w:hAnsi="Palatino"/>
          <w:i/>
          <w:iCs/>
          <w:noProof/>
          <w:sz w:val="20"/>
          <w:szCs w:val="20"/>
        </w:rPr>
        <w:t>200</w:t>
      </w:r>
      <w:r w:rsidRPr="002B6607">
        <w:rPr>
          <w:rFonts w:ascii="Palatino" w:hAnsi="Palatino"/>
          <w:noProof/>
          <w:sz w:val="20"/>
          <w:szCs w:val="20"/>
        </w:rPr>
        <w:t>, 330–338.</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20. </w:t>
      </w:r>
      <w:r w:rsidRPr="002B6607">
        <w:rPr>
          <w:rFonts w:ascii="Palatino" w:hAnsi="Palatino"/>
          <w:noProof/>
          <w:sz w:val="20"/>
          <w:szCs w:val="20"/>
        </w:rPr>
        <w:tab/>
        <w:t xml:space="preserve">Yin, B.C.; Ye, B.C.; Wang, H.; Zhu, Z.; Tan, W. Colorimetric logic gates based on aptamer-crosslinked hydrogels.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48</w:t>
      </w:r>
      <w:r w:rsidRPr="002B6607">
        <w:rPr>
          <w:rFonts w:ascii="Palatino" w:hAnsi="Palatino"/>
          <w:noProof/>
          <w:sz w:val="20"/>
          <w:szCs w:val="20"/>
        </w:rPr>
        <w:t>, 1248–1250.</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21. </w:t>
      </w:r>
      <w:r w:rsidRPr="002B6607">
        <w:rPr>
          <w:rFonts w:ascii="Palatino" w:hAnsi="Palatino"/>
          <w:noProof/>
          <w:sz w:val="20"/>
          <w:szCs w:val="20"/>
        </w:rPr>
        <w:tab/>
        <w:t xml:space="preserve">Ye, B.; Wang, H.; Ding, H.; Zhao, Y.; Pu, Y.; Gu, Z. Colorimetric logic response based on aptamer functionalized colloidal crystal hydrogels. </w:t>
      </w:r>
      <w:r w:rsidRPr="002B6607">
        <w:rPr>
          <w:rFonts w:ascii="Palatino" w:hAnsi="Palatino"/>
          <w:i/>
          <w:iCs/>
          <w:noProof/>
          <w:sz w:val="20"/>
          <w:szCs w:val="20"/>
        </w:rPr>
        <w:t>Nanoscale</w:t>
      </w:r>
      <w:r w:rsidRPr="002B6607">
        <w:rPr>
          <w:rFonts w:ascii="Palatino" w:hAnsi="Palatino"/>
          <w:noProof/>
          <w:sz w:val="20"/>
          <w:szCs w:val="20"/>
        </w:rPr>
        <w:t xml:space="preserve"> </w:t>
      </w:r>
      <w:r w:rsidRPr="002B6607">
        <w:rPr>
          <w:rFonts w:ascii="Palatino" w:hAnsi="Palatino"/>
          <w:b/>
          <w:bCs/>
          <w:noProof/>
          <w:sz w:val="20"/>
          <w:szCs w:val="20"/>
        </w:rPr>
        <w:t>2015</w:t>
      </w:r>
      <w:r w:rsidRPr="002B6607">
        <w:rPr>
          <w:rFonts w:ascii="Palatino" w:hAnsi="Palatino"/>
          <w:noProof/>
          <w:sz w:val="20"/>
          <w:szCs w:val="20"/>
        </w:rPr>
        <w:t xml:space="preserve">, </w:t>
      </w:r>
      <w:r w:rsidRPr="002B6607">
        <w:rPr>
          <w:rFonts w:ascii="Palatino" w:hAnsi="Palatino"/>
          <w:i/>
          <w:iCs/>
          <w:noProof/>
          <w:sz w:val="20"/>
          <w:szCs w:val="20"/>
        </w:rPr>
        <w:t>7</w:t>
      </w:r>
      <w:r w:rsidRPr="002B6607">
        <w:rPr>
          <w:rFonts w:ascii="Palatino" w:hAnsi="Palatino"/>
          <w:noProof/>
          <w:sz w:val="20"/>
          <w:szCs w:val="20"/>
        </w:rPr>
        <w:t>, 7565–7568.</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22. </w:t>
      </w:r>
      <w:r w:rsidRPr="002B6607">
        <w:rPr>
          <w:rFonts w:ascii="Palatino" w:hAnsi="Palatino"/>
          <w:noProof/>
          <w:sz w:val="20"/>
          <w:szCs w:val="20"/>
        </w:rPr>
        <w:tab/>
        <w:t xml:space="preserve">Wang, L.; Zhu, J.; Han, L.; Jin, L.; Zhu, C.; Wang, E.; Dong, S. Graphene-based aptamer logic gates and their application to multiplex detection. </w:t>
      </w:r>
      <w:r w:rsidRPr="002B6607">
        <w:rPr>
          <w:rFonts w:ascii="Palatino" w:hAnsi="Palatino"/>
          <w:i/>
          <w:iCs/>
          <w:noProof/>
          <w:sz w:val="20"/>
          <w:szCs w:val="20"/>
        </w:rPr>
        <w:t>ACS Nano</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6</w:t>
      </w:r>
      <w:r w:rsidRPr="002B6607">
        <w:rPr>
          <w:rFonts w:ascii="Palatino" w:hAnsi="Palatino"/>
          <w:noProof/>
          <w:sz w:val="20"/>
          <w:szCs w:val="20"/>
        </w:rPr>
        <w:t>, 6659–6666.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23. </w:t>
      </w:r>
      <w:r w:rsidRPr="002B6607">
        <w:rPr>
          <w:rFonts w:ascii="Palatino" w:hAnsi="Palatino"/>
          <w:noProof/>
          <w:sz w:val="20"/>
          <w:szCs w:val="20"/>
        </w:rPr>
        <w:tab/>
        <w:t xml:space="preserve">Liu, X.; Aizen, R.; Freeman, R.; Yehezkeli, O.; Willner, I. Multiplexed aptasensors and amplified dna sensors using functionalized graphene oxide: Application for logic gate operations. </w:t>
      </w:r>
      <w:r w:rsidRPr="002B6607">
        <w:rPr>
          <w:rFonts w:ascii="Palatino" w:hAnsi="Palatino"/>
          <w:i/>
          <w:iCs/>
          <w:noProof/>
          <w:sz w:val="20"/>
          <w:szCs w:val="20"/>
        </w:rPr>
        <w:t>ACS Nano</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6</w:t>
      </w:r>
      <w:r w:rsidRPr="002B6607">
        <w:rPr>
          <w:rFonts w:ascii="Palatino" w:hAnsi="Palatino"/>
          <w:noProof/>
          <w:sz w:val="20"/>
          <w:szCs w:val="20"/>
        </w:rPr>
        <w:t>, 3553–3563.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24. </w:t>
      </w:r>
      <w:r w:rsidRPr="002B6607">
        <w:rPr>
          <w:rFonts w:ascii="Palatino" w:hAnsi="Palatino"/>
          <w:noProof/>
          <w:sz w:val="20"/>
          <w:szCs w:val="20"/>
        </w:rPr>
        <w:tab/>
        <w:t xml:space="preserve">Lin, B.; Sun, Q.; Liu, K.; Lu, D.; Fu, Y.; Xu, Z.; Zhang, W. Label-free colorimetric protein assay and logic gates design based on the self-assembly of hemin-graphene hybrid nanosheet. </w:t>
      </w:r>
      <w:r w:rsidRPr="002B6607">
        <w:rPr>
          <w:rFonts w:ascii="Palatino" w:hAnsi="Palatino"/>
          <w:i/>
          <w:iCs/>
          <w:noProof/>
          <w:sz w:val="20"/>
          <w:szCs w:val="20"/>
        </w:rPr>
        <w:t>Langmuir</w:t>
      </w:r>
      <w:r w:rsidRPr="002B6607">
        <w:rPr>
          <w:rFonts w:ascii="Palatino" w:hAnsi="Palatino"/>
          <w:noProof/>
          <w:sz w:val="20"/>
          <w:szCs w:val="20"/>
        </w:rPr>
        <w:t xml:space="preserve"> </w:t>
      </w:r>
      <w:r w:rsidRPr="002B6607">
        <w:rPr>
          <w:rFonts w:ascii="Palatino" w:hAnsi="Palatino"/>
          <w:b/>
          <w:bCs/>
          <w:noProof/>
          <w:sz w:val="20"/>
          <w:szCs w:val="20"/>
        </w:rPr>
        <w:t>2014</w:t>
      </w:r>
      <w:r w:rsidRPr="002B6607">
        <w:rPr>
          <w:rFonts w:ascii="Palatino" w:hAnsi="Palatino"/>
          <w:noProof/>
          <w:sz w:val="20"/>
          <w:szCs w:val="20"/>
        </w:rPr>
        <w:t xml:space="preserve">, </w:t>
      </w:r>
      <w:r w:rsidRPr="002B6607">
        <w:rPr>
          <w:rFonts w:ascii="Palatino" w:hAnsi="Palatino"/>
          <w:i/>
          <w:iCs/>
          <w:noProof/>
          <w:sz w:val="20"/>
          <w:szCs w:val="20"/>
        </w:rPr>
        <w:t>30</w:t>
      </w:r>
      <w:r w:rsidRPr="002B6607">
        <w:rPr>
          <w:rFonts w:ascii="Palatino" w:hAnsi="Palatino"/>
          <w:noProof/>
          <w:sz w:val="20"/>
          <w:szCs w:val="20"/>
        </w:rPr>
        <w:t>, 2144–2151.</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25. </w:t>
      </w:r>
      <w:r w:rsidRPr="002B6607">
        <w:rPr>
          <w:rFonts w:ascii="Palatino" w:hAnsi="Palatino"/>
          <w:noProof/>
          <w:sz w:val="20"/>
          <w:szCs w:val="20"/>
        </w:rPr>
        <w:tab/>
        <w:t xml:space="preserve">Hu, X.; Liu, Y.; Qu, X.; Sun, Q. A quantum dot-labelled aptamer/graphene oxide system for the construction of a half-adder and half-subtractor with high resettability.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2017</w:t>
      </w:r>
      <w:r w:rsidRPr="002B6607">
        <w:rPr>
          <w:rFonts w:ascii="Palatino" w:hAnsi="Palatino"/>
          <w:noProof/>
          <w:sz w:val="20"/>
          <w:szCs w:val="20"/>
        </w:rPr>
        <w:t xml:space="preserve">, </w:t>
      </w:r>
      <w:r w:rsidRPr="002B6607">
        <w:rPr>
          <w:rFonts w:ascii="Palatino" w:hAnsi="Palatino"/>
          <w:i/>
          <w:iCs/>
          <w:noProof/>
          <w:sz w:val="20"/>
          <w:szCs w:val="20"/>
        </w:rPr>
        <w:t>53</w:t>
      </w:r>
      <w:r w:rsidRPr="002B6607">
        <w:rPr>
          <w:rFonts w:ascii="Palatino" w:hAnsi="Palatino"/>
          <w:noProof/>
          <w:sz w:val="20"/>
          <w:szCs w:val="20"/>
        </w:rPr>
        <w:t>, 11181–11184.</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26. </w:t>
      </w:r>
      <w:r w:rsidRPr="002B6607">
        <w:rPr>
          <w:rFonts w:ascii="Palatino" w:hAnsi="Palatino"/>
          <w:noProof/>
          <w:sz w:val="20"/>
          <w:szCs w:val="20"/>
        </w:rPr>
        <w:tab/>
        <w:t xml:space="preserve">Zhang, J.; Yang, C.; Niu, C.; Liu, C.; Cai, X.; Du, J.; Chen, Y. A label-free fluorescent AND logic gate aptasensor for sensitive ATP detection. </w:t>
      </w:r>
      <w:r w:rsidRPr="002B6607">
        <w:rPr>
          <w:rFonts w:ascii="Palatino" w:hAnsi="Palatino"/>
          <w:i/>
          <w:iCs/>
          <w:noProof/>
          <w:sz w:val="20"/>
          <w:szCs w:val="20"/>
        </w:rPr>
        <w:t>Sensors (Switzerland)</w:t>
      </w:r>
      <w:r w:rsidRPr="002B6607">
        <w:rPr>
          <w:rFonts w:ascii="Palatino" w:hAnsi="Palatino"/>
          <w:noProof/>
          <w:sz w:val="20"/>
          <w:szCs w:val="20"/>
        </w:rPr>
        <w:t xml:space="preserve"> </w:t>
      </w:r>
      <w:r w:rsidRPr="002B6607">
        <w:rPr>
          <w:rFonts w:ascii="Palatino" w:hAnsi="Palatino"/>
          <w:b/>
          <w:bCs/>
          <w:noProof/>
          <w:sz w:val="20"/>
          <w:szCs w:val="20"/>
        </w:rPr>
        <w:t>2018</w:t>
      </w:r>
      <w:r w:rsidRPr="002B6607">
        <w:rPr>
          <w:rFonts w:ascii="Palatino" w:hAnsi="Palatino"/>
          <w:noProof/>
          <w:sz w:val="20"/>
          <w:szCs w:val="20"/>
        </w:rPr>
        <w:t xml:space="preserve">, </w:t>
      </w:r>
      <w:r w:rsidRPr="002B6607">
        <w:rPr>
          <w:rFonts w:ascii="Palatino" w:hAnsi="Palatino"/>
          <w:i/>
          <w:iCs/>
          <w:noProof/>
          <w:sz w:val="20"/>
          <w:szCs w:val="20"/>
        </w:rPr>
        <w:t>18</w:t>
      </w:r>
      <w:r w:rsidRPr="002B6607">
        <w:rPr>
          <w:rFonts w:ascii="Palatino" w:hAnsi="Palatino"/>
          <w:noProof/>
          <w:sz w:val="20"/>
          <w:szCs w:val="20"/>
        </w:rPr>
        <w:t>.</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27. </w:t>
      </w:r>
      <w:r w:rsidRPr="002B6607">
        <w:rPr>
          <w:rFonts w:ascii="Palatino" w:hAnsi="Palatino"/>
          <w:noProof/>
          <w:sz w:val="20"/>
          <w:szCs w:val="20"/>
        </w:rPr>
        <w:tab/>
        <w:t xml:space="preserve">Xia, F.; Zuo, X.; Yang, R.; White, R.J.; Xiao, Y.; Kang, D.; Gong, X.; Lubin, A.A.; Vallée-Bélisle, A.; Yuen, J.D.; et al. Label-free, dual-analyte electrochemical biosensors: A new class of molecular-electronic logic gates.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2010</w:t>
      </w:r>
      <w:r w:rsidRPr="002B6607">
        <w:rPr>
          <w:rFonts w:ascii="Palatino" w:hAnsi="Palatino"/>
          <w:noProof/>
          <w:sz w:val="20"/>
          <w:szCs w:val="20"/>
        </w:rPr>
        <w:t xml:space="preserve">, </w:t>
      </w:r>
      <w:r w:rsidRPr="002B6607">
        <w:rPr>
          <w:rFonts w:ascii="Palatino" w:hAnsi="Palatino"/>
          <w:i/>
          <w:iCs/>
          <w:noProof/>
          <w:sz w:val="20"/>
          <w:szCs w:val="20"/>
        </w:rPr>
        <w:t>132</w:t>
      </w:r>
      <w:r w:rsidRPr="002B6607">
        <w:rPr>
          <w:rFonts w:ascii="Palatino" w:hAnsi="Palatino"/>
          <w:noProof/>
          <w:sz w:val="20"/>
          <w:szCs w:val="20"/>
        </w:rPr>
        <w:t>, 8557–8559.</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28. </w:t>
      </w:r>
      <w:r w:rsidRPr="002B6607">
        <w:rPr>
          <w:rFonts w:ascii="Palatino" w:hAnsi="Palatino"/>
          <w:noProof/>
          <w:sz w:val="20"/>
          <w:szCs w:val="20"/>
        </w:rPr>
        <w:tab/>
        <w:t xml:space="preserve">Feng, L.; Lyu, Z.; Offenhäusser, A.; Mayer, D. Multi-level logic gate operation based on amplified aptasensor performance. </w:t>
      </w:r>
      <w:r w:rsidRPr="002B6607">
        <w:rPr>
          <w:rFonts w:ascii="Palatino" w:hAnsi="Palatino"/>
          <w:i/>
          <w:iCs/>
          <w:noProof/>
          <w:sz w:val="20"/>
          <w:szCs w:val="20"/>
        </w:rPr>
        <w:t>Angew. Chemie - Int. Ed.</w:t>
      </w:r>
      <w:r w:rsidRPr="002B6607">
        <w:rPr>
          <w:rFonts w:ascii="Palatino" w:hAnsi="Palatino"/>
          <w:noProof/>
          <w:sz w:val="20"/>
          <w:szCs w:val="20"/>
        </w:rPr>
        <w:t xml:space="preserve"> </w:t>
      </w:r>
      <w:r w:rsidRPr="002B6607">
        <w:rPr>
          <w:rFonts w:ascii="Palatino" w:hAnsi="Palatino"/>
          <w:b/>
          <w:bCs/>
          <w:noProof/>
          <w:sz w:val="20"/>
          <w:szCs w:val="20"/>
        </w:rPr>
        <w:t>2015</w:t>
      </w:r>
      <w:r w:rsidRPr="002B6607">
        <w:rPr>
          <w:rFonts w:ascii="Palatino" w:hAnsi="Palatino"/>
          <w:noProof/>
          <w:sz w:val="20"/>
          <w:szCs w:val="20"/>
        </w:rPr>
        <w:t xml:space="preserve">, </w:t>
      </w:r>
      <w:r w:rsidRPr="002B6607">
        <w:rPr>
          <w:rFonts w:ascii="Palatino" w:hAnsi="Palatino"/>
          <w:i/>
          <w:iCs/>
          <w:noProof/>
          <w:sz w:val="20"/>
          <w:szCs w:val="20"/>
        </w:rPr>
        <w:t>54</w:t>
      </w:r>
      <w:r w:rsidRPr="002B6607">
        <w:rPr>
          <w:rFonts w:ascii="Palatino" w:hAnsi="Palatino"/>
          <w:noProof/>
          <w:sz w:val="20"/>
          <w:szCs w:val="20"/>
        </w:rPr>
        <w:t>, 7693–7697.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lastRenderedPageBreak/>
        <w:t xml:space="preserve">29. </w:t>
      </w:r>
      <w:r w:rsidRPr="002B6607">
        <w:rPr>
          <w:rFonts w:ascii="Palatino" w:hAnsi="Palatino"/>
          <w:noProof/>
          <w:sz w:val="20"/>
          <w:szCs w:val="20"/>
        </w:rPr>
        <w:tab/>
        <w:t xml:space="preserve">Du, M.; Yang, T.; Zhao, C.; Jiao, K. Electrochemical logic aptasensor based on graphene. </w:t>
      </w:r>
      <w:r w:rsidRPr="002B6607">
        <w:rPr>
          <w:rFonts w:ascii="Palatino" w:hAnsi="Palatino"/>
          <w:i/>
          <w:iCs/>
          <w:noProof/>
          <w:sz w:val="20"/>
          <w:szCs w:val="20"/>
        </w:rPr>
        <w:t>Sensors Actuators, B Chem.</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169</w:t>
      </w:r>
      <w:r w:rsidRPr="002B6607">
        <w:rPr>
          <w:rFonts w:ascii="Palatino" w:hAnsi="Palatino"/>
          <w:noProof/>
          <w:sz w:val="20"/>
          <w:szCs w:val="20"/>
        </w:rPr>
        <w:t>, 255–260.</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30. </w:t>
      </w:r>
      <w:r w:rsidRPr="002B6607">
        <w:rPr>
          <w:rFonts w:ascii="Palatino" w:hAnsi="Palatino"/>
          <w:noProof/>
          <w:sz w:val="20"/>
          <w:szCs w:val="20"/>
        </w:rPr>
        <w:tab/>
        <w:t xml:space="preserve">Liu, S.; Ding, J.; Qin, W. Dual-Analyte Chronopotentiometric Aptasensing Platform Based on a G-Quadruplex/Hemin DNAzyme and Logic Gate Operations. </w:t>
      </w:r>
      <w:r w:rsidRPr="002B6607">
        <w:rPr>
          <w:rFonts w:ascii="Palatino" w:hAnsi="Palatino"/>
          <w:i/>
          <w:iCs/>
          <w:noProof/>
          <w:sz w:val="20"/>
          <w:szCs w:val="20"/>
        </w:rPr>
        <w:t>Anal. Chem.</w:t>
      </w:r>
      <w:r w:rsidRPr="002B6607">
        <w:rPr>
          <w:rFonts w:ascii="Palatino" w:hAnsi="Palatino"/>
          <w:noProof/>
          <w:sz w:val="20"/>
          <w:szCs w:val="20"/>
        </w:rPr>
        <w:t xml:space="preserve"> </w:t>
      </w:r>
      <w:r w:rsidRPr="002B6607">
        <w:rPr>
          <w:rFonts w:ascii="Palatino" w:hAnsi="Palatino"/>
          <w:b/>
          <w:bCs/>
          <w:noProof/>
          <w:sz w:val="20"/>
          <w:szCs w:val="20"/>
        </w:rPr>
        <w:t>2019</w:t>
      </w:r>
      <w:r w:rsidRPr="002B6607">
        <w:rPr>
          <w:rFonts w:ascii="Palatino" w:hAnsi="Palatino"/>
          <w:noProof/>
          <w:sz w:val="20"/>
          <w:szCs w:val="20"/>
        </w:rPr>
        <w:t xml:space="preserve">, </w:t>
      </w:r>
      <w:r w:rsidRPr="002B6607">
        <w:rPr>
          <w:rFonts w:ascii="Palatino" w:hAnsi="Palatino"/>
          <w:i/>
          <w:iCs/>
          <w:noProof/>
          <w:sz w:val="20"/>
          <w:szCs w:val="20"/>
        </w:rPr>
        <w:t>91</w:t>
      </w:r>
      <w:r w:rsidRPr="002B6607">
        <w:rPr>
          <w:rFonts w:ascii="Palatino" w:hAnsi="Palatino"/>
          <w:noProof/>
          <w:sz w:val="20"/>
          <w:szCs w:val="20"/>
        </w:rPr>
        <w:t>, 3170–3176.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31. </w:t>
      </w:r>
      <w:r w:rsidRPr="002B6607">
        <w:rPr>
          <w:rFonts w:ascii="Palatino" w:hAnsi="Palatino"/>
          <w:noProof/>
          <w:sz w:val="20"/>
          <w:szCs w:val="20"/>
        </w:rPr>
        <w:tab/>
        <w:t xml:space="preserve">Chen, J.; Zeng, L. Enzyme-amplified electronic logic gates based on split/intact aptamers. </w:t>
      </w:r>
      <w:r w:rsidRPr="002B6607">
        <w:rPr>
          <w:rFonts w:ascii="Palatino" w:hAnsi="Palatino"/>
          <w:i/>
          <w:iCs/>
          <w:noProof/>
          <w:sz w:val="20"/>
          <w:szCs w:val="20"/>
        </w:rPr>
        <w:t>Biosens. Bioelectron.</w:t>
      </w:r>
      <w:r w:rsidRPr="002B6607">
        <w:rPr>
          <w:rFonts w:ascii="Palatino" w:hAnsi="Palatino"/>
          <w:noProof/>
          <w:sz w:val="20"/>
          <w:szCs w:val="20"/>
        </w:rPr>
        <w:t xml:space="preserve"> </w:t>
      </w:r>
      <w:r w:rsidRPr="002B6607">
        <w:rPr>
          <w:rFonts w:ascii="Palatino" w:hAnsi="Palatino"/>
          <w:b/>
          <w:bCs/>
          <w:noProof/>
          <w:sz w:val="20"/>
          <w:szCs w:val="20"/>
        </w:rPr>
        <w:t>2013</w:t>
      </w:r>
      <w:r w:rsidRPr="002B6607">
        <w:rPr>
          <w:rFonts w:ascii="Palatino" w:hAnsi="Palatino"/>
          <w:noProof/>
          <w:sz w:val="20"/>
          <w:szCs w:val="20"/>
        </w:rPr>
        <w:t xml:space="preserve">, </w:t>
      </w:r>
      <w:r w:rsidRPr="002B6607">
        <w:rPr>
          <w:rFonts w:ascii="Palatino" w:hAnsi="Palatino"/>
          <w:i/>
          <w:iCs/>
          <w:noProof/>
          <w:sz w:val="20"/>
          <w:szCs w:val="20"/>
        </w:rPr>
        <w:t>42</w:t>
      </w:r>
      <w:r w:rsidRPr="002B6607">
        <w:rPr>
          <w:rFonts w:ascii="Palatino" w:hAnsi="Palatino"/>
          <w:noProof/>
          <w:sz w:val="20"/>
          <w:szCs w:val="20"/>
        </w:rPr>
        <w:t>, 93–99.</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32. </w:t>
      </w:r>
      <w:r w:rsidRPr="002B6607">
        <w:rPr>
          <w:rFonts w:ascii="Palatino" w:hAnsi="Palatino"/>
          <w:noProof/>
          <w:sz w:val="20"/>
          <w:szCs w:val="20"/>
        </w:rPr>
        <w:tab/>
        <w:t xml:space="preserve">Zhou, M.; Du, Y.; Chen, C.; Li, B.; Wen, D.; Dong, S.; Wang, E. Aptamer-controlled biofuel cells in logic systems and used as self-powered and intelligent logic aptasensors.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2010</w:t>
      </w:r>
      <w:r w:rsidRPr="002B6607">
        <w:rPr>
          <w:rFonts w:ascii="Palatino" w:hAnsi="Palatino"/>
          <w:noProof/>
          <w:sz w:val="20"/>
          <w:szCs w:val="20"/>
        </w:rPr>
        <w:t xml:space="preserve">, </w:t>
      </w:r>
      <w:r w:rsidRPr="002B6607">
        <w:rPr>
          <w:rFonts w:ascii="Palatino" w:hAnsi="Palatino"/>
          <w:i/>
          <w:iCs/>
          <w:noProof/>
          <w:sz w:val="20"/>
          <w:szCs w:val="20"/>
        </w:rPr>
        <w:t>132</w:t>
      </w:r>
      <w:r w:rsidRPr="002B6607">
        <w:rPr>
          <w:rFonts w:ascii="Palatino" w:hAnsi="Palatino"/>
          <w:noProof/>
          <w:sz w:val="20"/>
          <w:szCs w:val="20"/>
        </w:rPr>
        <w:t>, 2172–2174.</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33. </w:t>
      </w:r>
      <w:r w:rsidRPr="002B6607">
        <w:rPr>
          <w:rFonts w:ascii="Palatino" w:hAnsi="Palatino"/>
          <w:noProof/>
          <w:sz w:val="20"/>
          <w:szCs w:val="20"/>
        </w:rPr>
        <w:tab/>
        <w:t xml:space="preserve">Zhou, M.; Chen, C.; Du, Y.; Li, B.; Wen, D.; Dong, S.; Wang, E. An IMP-Reset gate-based reusable and self-powered “smart” logic aptasensor on a microfluidic biofuel cell. </w:t>
      </w:r>
      <w:r w:rsidRPr="002B6607">
        <w:rPr>
          <w:rFonts w:ascii="Palatino" w:hAnsi="Palatino"/>
          <w:i/>
          <w:iCs/>
          <w:noProof/>
          <w:sz w:val="20"/>
          <w:szCs w:val="20"/>
        </w:rPr>
        <w:t>Lab Chip</w:t>
      </w:r>
      <w:r w:rsidRPr="002B6607">
        <w:rPr>
          <w:rFonts w:ascii="Palatino" w:hAnsi="Palatino"/>
          <w:noProof/>
          <w:sz w:val="20"/>
          <w:szCs w:val="20"/>
        </w:rPr>
        <w:t xml:space="preserve"> </w:t>
      </w:r>
      <w:r w:rsidRPr="002B6607">
        <w:rPr>
          <w:rFonts w:ascii="Palatino" w:hAnsi="Palatino"/>
          <w:b/>
          <w:bCs/>
          <w:noProof/>
          <w:sz w:val="20"/>
          <w:szCs w:val="20"/>
        </w:rPr>
        <w:t>2010</w:t>
      </w:r>
      <w:r w:rsidRPr="002B6607">
        <w:rPr>
          <w:rFonts w:ascii="Palatino" w:hAnsi="Palatino"/>
          <w:noProof/>
          <w:sz w:val="20"/>
          <w:szCs w:val="20"/>
        </w:rPr>
        <w:t xml:space="preserve">, </w:t>
      </w:r>
      <w:r w:rsidRPr="002B6607">
        <w:rPr>
          <w:rFonts w:ascii="Palatino" w:hAnsi="Palatino"/>
          <w:i/>
          <w:iCs/>
          <w:noProof/>
          <w:sz w:val="20"/>
          <w:szCs w:val="20"/>
        </w:rPr>
        <w:t>10</w:t>
      </w:r>
      <w:r w:rsidRPr="002B6607">
        <w:rPr>
          <w:rFonts w:ascii="Palatino" w:hAnsi="Palatino"/>
          <w:noProof/>
          <w:sz w:val="20"/>
          <w:szCs w:val="20"/>
        </w:rPr>
        <w:t>, 2932–2936.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34. </w:t>
      </w:r>
      <w:r w:rsidRPr="002B6607">
        <w:rPr>
          <w:rFonts w:ascii="Palatino" w:hAnsi="Palatino"/>
          <w:noProof/>
          <w:sz w:val="20"/>
          <w:szCs w:val="20"/>
        </w:rPr>
        <w:tab/>
        <w:t xml:space="preserve">Zhou, M.; Kuralay, F.; Windmiller, J.R.; Wang, J. DNAzyme logic-controlled biofuel cells for self-powered biosensors. </w:t>
      </w:r>
      <w:r w:rsidRPr="002B6607">
        <w:rPr>
          <w:rFonts w:ascii="Palatino" w:hAnsi="Palatino"/>
          <w:i/>
          <w:iCs/>
          <w:noProof/>
          <w:sz w:val="20"/>
          <w:szCs w:val="20"/>
        </w:rPr>
        <w:t>Chem. Commun.</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48</w:t>
      </w:r>
      <w:r w:rsidRPr="002B6607">
        <w:rPr>
          <w:rFonts w:ascii="Palatino" w:hAnsi="Palatino"/>
          <w:noProof/>
          <w:sz w:val="20"/>
          <w:szCs w:val="20"/>
        </w:rPr>
        <w:t>, 3815–3817.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35. </w:t>
      </w:r>
      <w:r w:rsidRPr="002B6607">
        <w:rPr>
          <w:rFonts w:ascii="Palatino" w:hAnsi="Palatino"/>
          <w:noProof/>
          <w:sz w:val="20"/>
          <w:szCs w:val="20"/>
        </w:rPr>
        <w:tab/>
        <w:t xml:space="preserve">Jiang, Y.; Liu, N.; Guo, W.; Xia, F.; Jiang, L. Highly-efficient gating of solid-state nanochannels by DNA supersandwich structure containing ATP aptamers: A nanofluidic IMPLICATION logic device.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134</w:t>
      </w:r>
      <w:r w:rsidRPr="002B6607">
        <w:rPr>
          <w:rFonts w:ascii="Palatino" w:hAnsi="Palatino"/>
          <w:noProof/>
          <w:sz w:val="20"/>
          <w:szCs w:val="20"/>
        </w:rPr>
        <w:t>, 15395–15401.</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36. </w:t>
      </w:r>
      <w:r w:rsidRPr="002B6607">
        <w:rPr>
          <w:rFonts w:ascii="Palatino" w:hAnsi="Palatino"/>
          <w:noProof/>
          <w:sz w:val="20"/>
          <w:szCs w:val="20"/>
        </w:rPr>
        <w:tab/>
        <w:t xml:space="preserve">You, M.; Zhu, G.; Chen, T.; Donovan, M.J.; Tan, W. Programmable and multiparameter DNA-based logic platform for cancer recognition and targeted therapy.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2015</w:t>
      </w:r>
      <w:r w:rsidRPr="002B6607">
        <w:rPr>
          <w:rFonts w:ascii="Palatino" w:hAnsi="Palatino"/>
          <w:noProof/>
          <w:sz w:val="20"/>
          <w:szCs w:val="20"/>
        </w:rPr>
        <w:t xml:space="preserve">, </w:t>
      </w:r>
      <w:r w:rsidRPr="002B6607">
        <w:rPr>
          <w:rFonts w:ascii="Palatino" w:hAnsi="Palatino"/>
          <w:i/>
          <w:iCs/>
          <w:noProof/>
          <w:sz w:val="20"/>
          <w:szCs w:val="20"/>
        </w:rPr>
        <w:t>137</w:t>
      </w:r>
      <w:r w:rsidRPr="002B6607">
        <w:rPr>
          <w:rFonts w:ascii="Palatino" w:hAnsi="Palatino"/>
          <w:noProof/>
          <w:sz w:val="20"/>
          <w:szCs w:val="20"/>
        </w:rPr>
        <w:t>, 667–674.</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37. </w:t>
      </w:r>
      <w:r w:rsidRPr="002B6607">
        <w:rPr>
          <w:rFonts w:ascii="Palatino" w:hAnsi="Palatino"/>
          <w:noProof/>
          <w:sz w:val="20"/>
          <w:szCs w:val="20"/>
        </w:rPr>
        <w:tab/>
        <w:t xml:space="preserve">You, M.; Peng, L.; Shao, N.; Zhang, L.; Qiu, L.; Cui, C.; Tan, W. DNA “nano-claw”: Logic-based autonomous cancer targeting and therapy.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2014</w:t>
      </w:r>
      <w:r w:rsidRPr="002B6607">
        <w:rPr>
          <w:rFonts w:ascii="Palatino" w:hAnsi="Palatino"/>
          <w:noProof/>
          <w:sz w:val="20"/>
          <w:szCs w:val="20"/>
        </w:rPr>
        <w:t xml:space="preserve">, </w:t>
      </w:r>
      <w:r w:rsidRPr="002B6607">
        <w:rPr>
          <w:rFonts w:ascii="Palatino" w:hAnsi="Palatino"/>
          <w:i/>
          <w:iCs/>
          <w:noProof/>
          <w:sz w:val="20"/>
          <w:szCs w:val="20"/>
        </w:rPr>
        <w:t>136</w:t>
      </w:r>
      <w:r w:rsidRPr="002B6607">
        <w:rPr>
          <w:rFonts w:ascii="Palatino" w:hAnsi="Palatino"/>
          <w:noProof/>
          <w:sz w:val="20"/>
          <w:szCs w:val="20"/>
        </w:rPr>
        <w:t>, 1256–1259.</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38. </w:t>
      </w:r>
      <w:r w:rsidRPr="002B6607">
        <w:rPr>
          <w:rFonts w:ascii="Palatino" w:hAnsi="Palatino"/>
          <w:noProof/>
          <w:sz w:val="20"/>
          <w:szCs w:val="20"/>
        </w:rPr>
        <w:tab/>
        <w:t xml:space="preserve">Lou, B.; Zhou, Z.; Du, Y.; Dong, S. Resistance-based logic aptamer sensor for CCRF-CEM and Ramos cells integrated on microfluidic chip. </w:t>
      </w:r>
      <w:r w:rsidRPr="002B6607">
        <w:rPr>
          <w:rFonts w:ascii="Palatino" w:hAnsi="Palatino"/>
          <w:i/>
          <w:iCs/>
          <w:noProof/>
          <w:sz w:val="20"/>
          <w:szCs w:val="20"/>
        </w:rPr>
        <w:t>Electrochem. commun.</w:t>
      </w:r>
      <w:r w:rsidRPr="002B6607">
        <w:rPr>
          <w:rFonts w:ascii="Palatino" w:hAnsi="Palatino"/>
          <w:noProof/>
          <w:sz w:val="20"/>
          <w:szCs w:val="20"/>
        </w:rPr>
        <w:t xml:space="preserve"> </w:t>
      </w:r>
      <w:r w:rsidRPr="002B6607">
        <w:rPr>
          <w:rFonts w:ascii="Palatino" w:hAnsi="Palatino"/>
          <w:b/>
          <w:bCs/>
          <w:noProof/>
          <w:sz w:val="20"/>
          <w:szCs w:val="20"/>
        </w:rPr>
        <w:t>2015</w:t>
      </w:r>
      <w:r w:rsidRPr="002B6607">
        <w:rPr>
          <w:rFonts w:ascii="Palatino" w:hAnsi="Palatino"/>
          <w:noProof/>
          <w:sz w:val="20"/>
          <w:szCs w:val="20"/>
        </w:rPr>
        <w:t xml:space="preserve">, </w:t>
      </w:r>
      <w:r w:rsidRPr="002B6607">
        <w:rPr>
          <w:rFonts w:ascii="Palatino" w:hAnsi="Palatino"/>
          <w:i/>
          <w:iCs/>
          <w:noProof/>
          <w:sz w:val="20"/>
          <w:szCs w:val="20"/>
        </w:rPr>
        <w:t>59</w:t>
      </w:r>
      <w:r w:rsidRPr="002B6607">
        <w:rPr>
          <w:rFonts w:ascii="Palatino" w:hAnsi="Palatino"/>
          <w:noProof/>
          <w:sz w:val="20"/>
          <w:szCs w:val="20"/>
        </w:rPr>
        <w:t>, 64–67.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39. </w:t>
      </w:r>
      <w:r w:rsidRPr="002B6607">
        <w:rPr>
          <w:rFonts w:ascii="Palatino" w:hAnsi="Palatino"/>
          <w:noProof/>
          <w:sz w:val="20"/>
          <w:szCs w:val="20"/>
        </w:rPr>
        <w:tab/>
        <w:t xml:space="preserve">Peng, R.; Zheng, X.; Lyu, Y.; Xu, L.; Zhang, X.; Ke, G.; Liu, Q.; You, C.; Huan, S.; Tan, W. Engineering a 3D DNA-Logic Gate Nanomachine for Bispecific Recognition and Computing on Target Cell Surfaces.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2018</w:t>
      </w:r>
      <w:r w:rsidRPr="002B6607">
        <w:rPr>
          <w:rFonts w:ascii="Palatino" w:hAnsi="Palatino"/>
          <w:noProof/>
          <w:sz w:val="20"/>
          <w:szCs w:val="20"/>
        </w:rPr>
        <w:t xml:space="preserve">, </w:t>
      </w:r>
      <w:r w:rsidRPr="002B6607">
        <w:rPr>
          <w:rFonts w:ascii="Palatino" w:hAnsi="Palatino"/>
          <w:i/>
          <w:iCs/>
          <w:noProof/>
          <w:sz w:val="20"/>
          <w:szCs w:val="20"/>
        </w:rPr>
        <w:t>140</w:t>
      </w:r>
      <w:r w:rsidRPr="002B6607">
        <w:rPr>
          <w:rFonts w:ascii="Palatino" w:hAnsi="Palatino"/>
          <w:noProof/>
          <w:sz w:val="20"/>
          <w:szCs w:val="20"/>
        </w:rPr>
        <w:t>, 9793–9796.</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40. </w:t>
      </w:r>
      <w:r w:rsidRPr="002B6607">
        <w:rPr>
          <w:rFonts w:ascii="Palatino" w:hAnsi="Palatino"/>
          <w:noProof/>
          <w:sz w:val="20"/>
          <w:szCs w:val="20"/>
        </w:rPr>
        <w:tab/>
        <w:t xml:space="preserve">Chang, X.; Zhang, C.; Lv, C.; Sun, Y.; Zhang, M.; Zhao, Y.; Yang, L.; Han, D.; Tan, W. Construction of a Multiple-Aptamer-Based DNA Logic Device on Live Cell Membranes via Associative Toehold Activation for Accurate Cancer Cell Identification. </w:t>
      </w:r>
      <w:r w:rsidRPr="002B6607">
        <w:rPr>
          <w:rFonts w:ascii="Palatino" w:hAnsi="Palatino"/>
          <w:i/>
          <w:iCs/>
          <w:noProof/>
          <w:sz w:val="20"/>
          <w:szCs w:val="20"/>
        </w:rPr>
        <w:t>J. Am. Chem. Soc.</w:t>
      </w:r>
      <w:r w:rsidRPr="002B6607">
        <w:rPr>
          <w:rFonts w:ascii="Palatino" w:hAnsi="Palatino"/>
          <w:noProof/>
          <w:sz w:val="20"/>
          <w:szCs w:val="20"/>
        </w:rPr>
        <w:t xml:space="preserve"> </w:t>
      </w:r>
      <w:r w:rsidRPr="002B6607">
        <w:rPr>
          <w:rFonts w:ascii="Palatino" w:hAnsi="Palatino"/>
          <w:b/>
          <w:bCs/>
          <w:noProof/>
          <w:sz w:val="20"/>
          <w:szCs w:val="20"/>
        </w:rPr>
        <w:t>2019</w:t>
      </w:r>
      <w:r w:rsidRPr="002B6607">
        <w:rPr>
          <w:rFonts w:ascii="Palatino" w:hAnsi="Palatino"/>
          <w:noProof/>
          <w:sz w:val="20"/>
          <w:szCs w:val="20"/>
        </w:rPr>
        <w:t xml:space="preserve">, </w:t>
      </w:r>
      <w:r w:rsidRPr="002B6607">
        <w:rPr>
          <w:rFonts w:ascii="Palatino" w:hAnsi="Palatino"/>
          <w:i/>
          <w:iCs/>
          <w:noProof/>
          <w:sz w:val="20"/>
          <w:szCs w:val="20"/>
        </w:rPr>
        <w:t>141</w:t>
      </w:r>
      <w:r w:rsidRPr="002B6607">
        <w:rPr>
          <w:rFonts w:ascii="Palatino" w:hAnsi="Palatino"/>
          <w:noProof/>
          <w:sz w:val="20"/>
          <w:szCs w:val="20"/>
        </w:rPr>
        <w:t>, 12738–12743.</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41. </w:t>
      </w:r>
      <w:r w:rsidRPr="002B6607">
        <w:rPr>
          <w:rFonts w:ascii="Palatino" w:hAnsi="Palatino"/>
          <w:noProof/>
          <w:sz w:val="20"/>
          <w:szCs w:val="20"/>
        </w:rPr>
        <w:tab/>
        <w:t xml:space="preserve">Douglas, S.M.; Bachelet, I.; Church, G.M. A logic-gated nanorobot for targeted transport of molecular payloads. </w:t>
      </w:r>
      <w:r w:rsidRPr="002B6607">
        <w:rPr>
          <w:rFonts w:ascii="Palatino" w:hAnsi="Palatino"/>
          <w:i/>
          <w:iCs/>
          <w:noProof/>
          <w:sz w:val="20"/>
          <w:szCs w:val="20"/>
        </w:rPr>
        <w:t>Science (80-. ).</w:t>
      </w:r>
      <w:r w:rsidRPr="002B6607">
        <w:rPr>
          <w:rFonts w:ascii="Palatino" w:hAnsi="Palatino"/>
          <w:noProof/>
          <w:sz w:val="20"/>
          <w:szCs w:val="20"/>
        </w:rPr>
        <w:t xml:space="preserve"> </w:t>
      </w:r>
      <w:r w:rsidRPr="002B6607">
        <w:rPr>
          <w:rFonts w:ascii="Palatino" w:hAnsi="Palatino"/>
          <w:b/>
          <w:bCs/>
          <w:noProof/>
          <w:sz w:val="20"/>
          <w:szCs w:val="20"/>
        </w:rPr>
        <w:t>2012</w:t>
      </w:r>
      <w:r w:rsidRPr="002B6607">
        <w:rPr>
          <w:rFonts w:ascii="Palatino" w:hAnsi="Palatino"/>
          <w:noProof/>
          <w:sz w:val="20"/>
          <w:szCs w:val="20"/>
        </w:rPr>
        <w:t xml:space="preserve">, </w:t>
      </w:r>
      <w:r w:rsidRPr="002B6607">
        <w:rPr>
          <w:rFonts w:ascii="Palatino" w:hAnsi="Palatino"/>
          <w:i/>
          <w:iCs/>
          <w:noProof/>
          <w:sz w:val="20"/>
          <w:szCs w:val="20"/>
        </w:rPr>
        <w:t>335</w:t>
      </w:r>
      <w:r w:rsidRPr="002B6607">
        <w:rPr>
          <w:rFonts w:ascii="Palatino" w:hAnsi="Palatino"/>
          <w:noProof/>
          <w:sz w:val="20"/>
          <w:szCs w:val="20"/>
        </w:rPr>
        <w:t>, 831–834.</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42. </w:t>
      </w:r>
      <w:r w:rsidRPr="002B6607">
        <w:rPr>
          <w:rFonts w:ascii="Palatino" w:hAnsi="Palatino"/>
          <w:noProof/>
          <w:sz w:val="20"/>
          <w:szCs w:val="20"/>
        </w:rPr>
        <w:tab/>
        <w:t xml:space="preserve">Amir, Y.; Ben-Ishay, E.; Levner, D.; Ittah, S.; Abu-Horowitz, A.; Bachelet, I. Universal computing by DNA origami robots in a living animal. </w:t>
      </w:r>
      <w:r w:rsidRPr="002B6607">
        <w:rPr>
          <w:rFonts w:ascii="Palatino" w:hAnsi="Palatino"/>
          <w:i/>
          <w:iCs/>
          <w:noProof/>
          <w:sz w:val="20"/>
          <w:szCs w:val="20"/>
        </w:rPr>
        <w:t>Nat. Nanotechnol.</w:t>
      </w:r>
      <w:r w:rsidRPr="002B6607">
        <w:rPr>
          <w:rFonts w:ascii="Palatino" w:hAnsi="Palatino"/>
          <w:noProof/>
          <w:sz w:val="20"/>
          <w:szCs w:val="20"/>
        </w:rPr>
        <w:t xml:space="preserve"> </w:t>
      </w:r>
      <w:r w:rsidRPr="002B6607">
        <w:rPr>
          <w:rFonts w:ascii="Palatino" w:hAnsi="Palatino"/>
          <w:b/>
          <w:bCs/>
          <w:noProof/>
          <w:sz w:val="20"/>
          <w:szCs w:val="20"/>
        </w:rPr>
        <w:t>2014</w:t>
      </w:r>
      <w:r w:rsidRPr="002B6607">
        <w:rPr>
          <w:rFonts w:ascii="Palatino" w:hAnsi="Palatino"/>
          <w:noProof/>
          <w:sz w:val="20"/>
          <w:szCs w:val="20"/>
        </w:rPr>
        <w:t xml:space="preserve">, </w:t>
      </w:r>
      <w:r w:rsidRPr="002B6607">
        <w:rPr>
          <w:rFonts w:ascii="Palatino" w:hAnsi="Palatino"/>
          <w:i/>
          <w:iCs/>
          <w:noProof/>
          <w:sz w:val="20"/>
          <w:szCs w:val="20"/>
        </w:rPr>
        <w:t>9</w:t>
      </w:r>
      <w:r w:rsidRPr="002B6607">
        <w:rPr>
          <w:rFonts w:ascii="Palatino" w:hAnsi="Palatino"/>
          <w:noProof/>
          <w:sz w:val="20"/>
          <w:szCs w:val="20"/>
        </w:rPr>
        <w:t>, 353–357.</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t xml:space="preserve">43. </w:t>
      </w:r>
      <w:r w:rsidRPr="002B6607">
        <w:rPr>
          <w:rFonts w:ascii="Palatino" w:hAnsi="Palatino"/>
          <w:noProof/>
          <w:sz w:val="20"/>
          <w:szCs w:val="20"/>
        </w:rPr>
        <w:tab/>
        <w:t xml:space="preserve">Yang, J.; Jiang, S.; Liu, X.; Pan, L.; Zhang, C. Aptamer-Binding Directed DNA Origami Pattern for Logic Gates. </w:t>
      </w:r>
      <w:r w:rsidRPr="002B6607">
        <w:rPr>
          <w:rFonts w:ascii="Palatino" w:hAnsi="Palatino"/>
          <w:i/>
          <w:iCs/>
          <w:noProof/>
          <w:sz w:val="20"/>
          <w:szCs w:val="20"/>
        </w:rPr>
        <w:t>ACS Appl. Mater. Interfaces</w:t>
      </w:r>
      <w:r w:rsidRPr="002B6607">
        <w:rPr>
          <w:rFonts w:ascii="Palatino" w:hAnsi="Palatino"/>
          <w:noProof/>
          <w:sz w:val="20"/>
          <w:szCs w:val="20"/>
        </w:rPr>
        <w:t xml:space="preserve"> </w:t>
      </w:r>
      <w:r w:rsidRPr="002B6607">
        <w:rPr>
          <w:rFonts w:ascii="Palatino" w:hAnsi="Palatino"/>
          <w:b/>
          <w:bCs/>
          <w:noProof/>
          <w:sz w:val="20"/>
          <w:szCs w:val="20"/>
        </w:rPr>
        <w:t>2016</w:t>
      </w:r>
      <w:r w:rsidRPr="002B6607">
        <w:rPr>
          <w:rFonts w:ascii="Palatino" w:hAnsi="Palatino"/>
          <w:noProof/>
          <w:sz w:val="20"/>
          <w:szCs w:val="20"/>
        </w:rPr>
        <w:t xml:space="preserve">, </w:t>
      </w:r>
      <w:r w:rsidRPr="002B6607">
        <w:rPr>
          <w:rFonts w:ascii="Palatino" w:hAnsi="Palatino"/>
          <w:i/>
          <w:iCs/>
          <w:noProof/>
          <w:sz w:val="20"/>
          <w:szCs w:val="20"/>
        </w:rPr>
        <w:t>8</w:t>
      </w:r>
      <w:r w:rsidRPr="002B6607">
        <w:rPr>
          <w:rFonts w:ascii="Palatino" w:hAnsi="Palatino"/>
          <w:noProof/>
          <w:sz w:val="20"/>
          <w:szCs w:val="20"/>
        </w:rPr>
        <w:t>, 34054–34060.</w:t>
      </w:r>
    </w:p>
    <w:p w:rsidR="002B6607" w:rsidRPr="002B6607" w:rsidRDefault="002B6607">
      <w:pPr>
        <w:pStyle w:val="a4"/>
        <w:ind w:left="640" w:hanging="640"/>
        <w:divId w:val="564265835"/>
        <w:rPr>
          <w:rFonts w:ascii="Palatino" w:hAnsi="Palatino"/>
          <w:noProof/>
          <w:sz w:val="20"/>
          <w:szCs w:val="20"/>
        </w:rPr>
      </w:pPr>
      <w:r w:rsidRPr="002B6607">
        <w:rPr>
          <w:rFonts w:ascii="Palatino" w:hAnsi="Palatino"/>
          <w:noProof/>
          <w:sz w:val="20"/>
          <w:szCs w:val="20"/>
        </w:rPr>
        <w:lastRenderedPageBreak/>
        <w:t xml:space="preserve">44. </w:t>
      </w:r>
      <w:r w:rsidRPr="002B6607">
        <w:rPr>
          <w:rFonts w:ascii="Palatino" w:hAnsi="Palatino"/>
          <w:noProof/>
          <w:sz w:val="20"/>
          <w:szCs w:val="20"/>
        </w:rPr>
        <w:tab/>
        <w:t xml:space="preserve">Wu, N.; Willner, I. Programmed dissociation of dimer and trimer origami structures by aptamer-ligand complexes. </w:t>
      </w:r>
      <w:r w:rsidRPr="002B6607">
        <w:rPr>
          <w:rFonts w:ascii="Palatino" w:hAnsi="Palatino"/>
          <w:i/>
          <w:iCs/>
          <w:noProof/>
          <w:sz w:val="20"/>
          <w:szCs w:val="20"/>
        </w:rPr>
        <w:t>Nanoscale</w:t>
      </w:r>
      <w:r w:rsidRPr="002B6607">
        <w:rPr>
          <w:rFonts w:ascii="Palatino" w:hAnsi="Palatino"/>
          <w:noProof/>
          <w:sz w:val="20"/>
          <w:szCs w:val="20"/>
        </w:rPr>
        <w:t xml:space="preserve"> </w:t>
      </w:r>
      <w:r w:rsidRPr="002B6607">
        <w:rPr>
          <w:rFonts w:ascii="Palatino" w:hAnsi="Palatino"/>
          <w:b/>
          <w:bCs/>
          <w:noProof/>
          <w:sz w:val="20"/>
          <w:szCs w:val="20"/>
        </w:rPr>
        <w:t>2017</w:t>
      </w:r>
      <w:r w:rsidRPr="002B6607">
        <w:rPr>
          <w:rFonts w:ascii="Palatino" w:hAnsi="Palatino"/>
          <w:noProof/>
          <w:sz w:val="20"/>
          <w:szCs w:val="20"/>
        </w:rPr>
        <w:t xml:space="preserve">, </w:t>
      </w:r>
      <w:r w:rsidRPr="002B6607">
        <w:rPr>
          <w:rFonts w:ascii="Palatino" w:hAnsi="Palatino"/>
          <w:i/>
          <w:iCs/>
          <w:noProof/>
          <w:sz w:val="20"/>
          <w:szCs w:val="20"/>
        </w:rPr>
        <w:t>9</w:t>
      </w:r>
      <w:r w:rsidRPr="002B6607">
        <w:rPr>
          <w:rFonts w:ascii="Palatino" w:hAnsi="Palatino"/>
          <w:noProof/>
          <w:sz w:val="20"/>
          <w:szCs w:val="20"/>
        </w:rPr>
        <w:t xml:space="preserve">, 1416–1422. </w:t>
      </w:r>
    </w:p>
    <w:p w:rsidR="002B6607" w:rsidRPr="002B6607" w:rsidRDefault="002B6607">
      <w:pPr>
        <w:rPr>
          <w:rFonts w:ascii="Palatino" w:hAnsi="Palatino"/>
          <w:lang w:val="en-US"/>
        </w:rPr>
      </w:pPr>
      <w:r w:rsidRPr="002B6607">
        <w:rPr>
          <w:rFonts w:ascii="Palatino" w:hAnsi="Palatino"/>
          <w:sz w:val="20"/>
          <w:szCs w:val="20"/>
          <w:lang w:val="en-US"/>
        </w:rPr>
        <w:fldChar w:fldCharType="end"/>
      </w:r>
    </w:p>
    <w:sectPr w:rsidR="002B6607" w:rsidRPr="002B6607" w:rsidSect="00717B03">
      <w:pgSz w:w="16838" w:h="11906" w:orient="landscape" w:code="9"/>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Palatino Linotype">
    <w:panose1 w:val="02040502050505030304"/>
    <w:charset w:val="CC"/>
    <w:family w:val="roman"/>
    <w:pitch w:val="variable"/>
    <w:sig w:usb0="E0000287" w:usb1="40000013" w:usb2="00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07"/>
    <w:rsid w:val="000957CC"/>
    <w:rsid w:val="00156316"/>
    <w:rsid w:val="001F7AF6"/>
    <w:rsid w:val="002B6607"/>
    <w:rsid w:val="00357243"/>
    <w:rsid w:val="003E549D"/>
    <w:rsid w:val="004A6F5F"/>
    <w:rsid w:val="0052646A"/>
    <w:rsid w:val="005C27F6"/>
    <w:rsid w:val="00717B03"/>
    <w:rsid w:val="00747072"/>
    <w:rsid w:val="008810A4"/>
    <w:rsid w:val="00A16FF4"/>
    <w:rsid w:val="00AD1D33"/>
    <w:rsid w:val="00BA76B7"/>
    <w:rsid w:val="00D135DC"/>
    <w:rsid w:val="00D91952"/>
    <w:rsid w:val="00DD1AE0"/>
    <w:rsid w:val="00E80D25"/>
    <w:rsid w:val="00EC6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6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DPI31text">
    <w:name w:val="MDPI_3.1_text"/>
    <w:qFormat/>
    <w:rsid w:val="002B6607"/>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styleId="a4">
    <w:name w:val="Normal (Web)"/>
    <w:basedOn w:val="a"/>
    <w:uiPriority w:val="99"/>
    <w:semiHidden/>
    <w:unhideWhenUsed/>
    <w:rsid w:val="002B6607"/>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6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DPI31text">
    <w:name w:val="MDPI_3.1_text"/>
    <w:qFormat/>
    <w:rsid w:val="002B6607"/>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styleId="a4">
    <w:name w:val="Normal (Web)"/>
    <w:basedOn w:val="a"/>
    <w:uiPriority w:val="99"/>
    <w:semiHidden/>
    <w:unhideWhenUsed/>
    <w:rsid w:val="002B6607"/>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6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6CAC1-9B76-409E-B497-88ACBDD7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18738</Words>
  <Characters>106808</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Sirotkina M.S.</dc:creator>
  <cp:lastModifiedBy>Sirotkina M.S.</cp:lastModifiedBy>
  <cp:revision>2</cp:revision>
  <dcterms:created xsi:type="dcterms:W3CDTF">2020-09-25T08:54:00Z</dcterms:created>
  <dcterms:modified xsi:type="dcterms:W3CDTF">2020-09-25T09:04:00Z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smariika@mail.ru@www.mendeley.com</vt:lpwstr>
  </property>
  <property fmtid="{D5CDD505-2E9C-101B-9397-08002B2CF9AE}" pid="4" name="Mendeley Citation Style_1">
    <vt:lpwstr>http://www.zotero.org/styles/molecules</vt:lpwstr>
  </property>
  <property fmtid="{D5CDD505-2E9C-101B-9397-08002B2CF9AE}" pid="5" name="Mendeley Recent Style Id 0_1">
    <vt:lpwstr>http://www.zotero.org/styles/american-sociological-association</vt:lpwstr>
  </property>
  <property fmtid="{D5CDD505-2E9C-101B-9397-08002B2CF9AE}" pid="6" name="Mendeley Recent Style Name 0_1">
    <vt:lpwstr>American Sociological Association</vt:lpwstr>
  </property>
  <property fmtid="{D5CDD505-2E9C-101B-9397-08002B2CF9AE}" pid="7" name="Mendeley Recent Style Id 1_1">
    <vt:lpwstr>http://www.zotero.org/styles/angewandte-chemie</vt:lpwstr>
  </property>
  <property fmtid="{D5CDD505-2E9C-101B-9397-08002B2CF9AE}" pid="8" name="Mendeley Recent Style Name 1_1">
    <vt:lpwstr>Angewandte Chemie International Edition</vt:lpwstr>
  </property>
  <property fmtid="{D5CDD505-2E9C-101B-9397-08002B2CF9AE}" pid="9" name="Mendeley Recent Style Id 2_1">
    <vt:lpwstr>http://www.zotero.org/styles/biosensors-and-bioelectronics</vt:lpwstr>
  </property>
  <property fmtid="{D5CDD505-2E9C-101B-9397-08002B2CF9AE}" pid="10" name="Mendeley Recent Style Name 2_1">
    <vt:lpwstr>Biosensors and Bioelectronics</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http://www.zotero.org/styles/molecules</vt:lpwstr>
  </property>
  <property fmtid="{D5CDD505-2E9C-101B-9397-08002B2CF9AE}" pid="22" name="Mendeley Recent Style Name 8_1">
    <vt:lpwstr>Molecules</vt:lpwstr>
  </property>
  <property fmtid="{D5CDD505-2E9C-101B-9397-08002B2CF9AE}" pid="23" name="Mendeley Recent Style Id 9_1">
    <vt:lpwstr>http://www.zotero.org/styles/revista-latinoamericana-de-metalurgia-y-materiales</vt:lpwstr>
  </property>
  <property fmtid="{D5CDD505-2E9C-101B-9397-08002B2CF9AE}" pid="24" name="Mendeley Recent Style Name 9_1">
    <vt:lpwstr>Revista Latinoamericana de Metalurgia y Materiales</vt:lpwstr>
  </property>
</Properties>
</file>